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60DB51EF" w:rsidR="00505D4A" w:rsidRPr="0007113A" w:rsidRDefault="00360FAE" w:rsidP="0007113A">
      <w:pPr>
        <w:tabs>
          <w:tab w:val="left" w:pos="4678"/>
        </w:tabs>
        <w:spacing w:after="0" w:line="240" w:lineRule="auto"/>
        <w:ind w:left="11" w:right="0" w:hanging="11"/>
        <w:rPr>
          <w:b/>
          <w:sz w:val="22"/>
        </w:rPr>
      </w:pPr>
      <w:r w:rsidRPr="0007113A">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w:t>
      </w:r>
      <w:r w:rsidR="005E59E1">
        <w:rPr>
          <w:b/>
          <w:sz w:val="22"/>
        </w:rPr>
        <w:t xml:space="preserve"> DE YUCATÁN, EMITE EL SIGUIENTE,</w:t>
      </w:r>
    </w:p>
    <w:p w14:paraId="6B535D71" w14:textId="77777777" w:rsidR="006974AC" w:rsidRPr="0007113A" w:rsidRDefault="006974AC" w:rsidP="0007113A">
      <w:pPr>
        <w:tabs>
          <w:tab w:val="left" w:pos="4678"/>
        </w:tabs>
        <w:spacing w:after="0" w:line="240" w:lineRule="auto"/>
        <w:ind w:left="11" w:right="0" w:hanging="11"/>
        <w:rPr>
          <w:b/>
          <w:sz w:val="22"/>
        </w:rPr>
      </w:pPr>
    </w:p>
    <w:p w14:paraId="1867B55B" w14:textId="77777777" w:rsidR="0007113A" w:rsidRPr="0007113A" w:rsidRDefault="0007113A" w:rsidP="0007113A">
      <w:pPr>
        <w:spacing w:after="0" w:line="240" w:lineRule="auto"/>
        <w:ind w:left="0"/>
        <w:jc w:val="center"/>
        <w:rPr>
          <w:b/>
          <w:sz w:val="22"/>
        </w:rPr>
      </w:pPr>
      <w:r w:rsidRPr="0007113A">
        <w:rPr>
          <w:b/>
          <w:sz w:val="22"/>
        </w:rPr>
        <w:t>DECRETO</w:t>
      </w:r>
    </w:p>
    <w:p w14:paraId="5DA51E0D" w14:textId="77777777" w:rsidR="0007113A" w:rsidRPr="0007113A" w:rsidRDefault="0007113A" w:rsidP="0007113A">
      <w:pPr>
        <w:spacing w:after="0" w:line="240" w:lineRule="auto"/>
        <w:ind w:left="0"/>
        <w:rPr>
          <w:b/>
          <w:sz w:val="22"/>
        </w:rPr>
      </w:pPr>
    </w:p>
    <w:p w14:paraId="227EC931" w14:textId="77777777" w:rsidR="0007113A" w:rsidRPr="0007113A" w:rsidRDefault="0007113A" w:rsidP="0007113A">
      <w:pPr>
        <w:spacing w:after="0" w:line="240" w:lineRule="auto"/>
        <w:ind w:left="0" w:firstLine="0"/>
        <w:rPr>
          <w:b/>
          <w:sz w:val="22"/>
        </w:rPr>
      </w:pPr>
      <w:r w:rsidRPr="0007113A">
        <w:rPr>
          <w:b/>
          <w:sz w:val="22"/>
        </w:rPr>
        <w:t xml:space="preserve">Por el que se autorizan los montos máximos de endeudamiento de municipios de </w:t>
      </w:r>
      <w:proofErr w:type="spellStart"/>
      <w:r w:rsidRPr="0007113A">
        <w:rPr>
          <w:b/>
          <w:sz w:val="22"/>
        </w:rPr>
        <w:t>Dzemul</w:t>
      </w:r>
      <w:proofErr w:type="spellEnd"/>
      <w:r w:rsidRPr="0007113A">
        <w:rPr>
          <w:b/>
          <w:sz w:val="22"/>
        </w:rPr>
        <w:t xml:space="preserve">, </w:t>
      </w:r>
      <w:proofErr w:type="spellStart"/>
      <w:r w:rsidRPr="0007113A">
        <w:rPr>
          <w:b/>
          <w:sz w:val="22"/>
        </w:rPr>
        <w:t>Hunucmá</w:t>
      </w:r>
      <w:proofErr w:type="spellEnd"/>
      <w:r w:rsidRPr="0007113A">
        <w:rPr>
          <w:b/>
          <w:sz w:val="22"/>
        </w:rPr>
        <w:t xml:space="preserve">, </w:t>
      </w:r>
      <w:proofErr w:type="spellStart"/>
      <w:r w:rsidRPr="0007113A">
        <w:rPr>
          <w:b/>
          <w:sz w:val="22"/>
        </w:rPr>
        <w:t>Temax</w:t>
      </w:r>
      <w:proofErr w:type="spellEnd"/>
      <w:r w:rsidRPr="0007113A">
        <w:rPr>
          <w:b/>
          <w:sz w:val="22"/>
        </w:rPr>
        <w:t xml:space="preserve">, Teya, </w:t>
      </w:r>
      <w:proofErr w:type="spellStart"/>
      <w:r w:rsidRPr="0007113A">
        <w:rPr>
          <w:b/>
          <w:sz w:val="22"/>
        </w:rPr>
        <w:t>Tizimín</w:t>
      </w:r>
      <w:proofErr w:type="spellEnd"/>
      <w:r w:rsidRPr="0007113A">
        <w:rPr>
          <w:b/>
          <w:sz w:val="22"/>
        </w:rPr>
        <w:t xml:space="preserve"> y </w:t>
      </w:r>
      <w:proofErr w:type="spellStart"/>
      <w:r w:rsidRPr="0007113A">
        <w:rPr>
          <w:b/>
          <w:sz w:val="22"/>
        </w:rPr>
        <w:t>Tzucacab</w:t>
      </w:r>
      <w:proofErr w:type="spellEnd"/>
      <w:r w:rsidRPr="0007113A">
        <w:rPr>
          <w:b/>
          <w:sz w:val="22"/>
        </w:rPr>
        <w:t xml:space="preserve"> del Estado de Yucatán, para contratar uno o varios financiamientos que se destinarán a inversiones públicas productivas, y se modifican sus respectivas leyes de ingresos para el ejercicio fiscal 2022. </w:t>
      </w:r>
      <w:bookmarkStart w:id="0" w:name="_GoBack"/>
      <w:bookmarkEnd w:id="0"/>
    </w:p>
    <w:p w14:paraId="74F928ED" w14:textId="77777777" w:rsidR="0007113A" w:rsidRPr="0007113A" w:rsidRDefault="0007113A" w:rsidP="0007113A">
      <w:pPr>
        <w:spacing w:after="0" w:line="240" w:lineRule="auto"/>
        <w:ind w:left="0"/>
        <w:jc w:val="center"/>
        <w:rPr>
          <w:b/>
          <w:sz w:val="22"/>
        </w:rPr>
      </w:pPr>
    </w:p>
    <w:p w14:paraId="15A3FAEB" w14:textId="77777777" w:rsidR="0007113A" w:rsidRPr="0007113A" w:rsidRDefault="0007113A" w:rsidP="0007113A">
      <w:pPr>
        <w:spacing w:after="0" w:line="240" w:lineRule="auto"/>
        <w:ind w:left="0"/>
        <w:rPr>
          <w:sz w:val="22"/>
        </w:rPr>
      </w:pPr>
      <w:r w:rsidRPr="0007113A">
        <w:rPr>
          <w:b/>
          <w:sz w:val="22"/>
        </w:rPr>
        <w:t xml:space="preserve">Artículo primero. </w:t>
      </w:r>
      <w:r w:rsidRPr="0007113A">
        <w:rPr>
          <w:sz w:val="22"/>
        </w:rPr>
        <w:t xml:space="preserve">El Congreso del Estado de Yucatán, autoriza los montos máximos de endeudamiento a los cuales podrán acceder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14:paraId="4EDDD5B9" w14:textId="77777777" w:rsidR="0007113A" w:rsidRPr="0007113A" w:rsidRDefault="0007113A" w:rsidP="0007113A">
      <w:pPr>
        <w:spacing w:after="0" w:line="240" w:lineRule="auto"/>
        <w:ind w:left="0"/>
        <w:rPr>
          <w:b/>
          <w:sz w:val="22"/>
        </w:rPr>
      </w:pPr>
    </w:p>
    <w:p w14:paraId="2F5CF792" w14:textId="77777777" w:rsidR="0007113A" w:rsidRPr="0007113A" w:rsidRDefault="0007113A" w:rsidP="0007113A">
      <w:pPr>
        <w:spacing w:after="0" w:line="240" w:lineRule="auto"/>
        <w:ind w:left="0"/>
        <w:rPr>
          <w:b/>
          <w:sz w:val="22"/>
        </w:rPr>
      </w:pPr>
      <w:r w:rsidRPr="0007113A">
        <w:rPr>
          <w:b/>
          <w:sz w:val="22"/>
        </w:rPr>
        <w:t>Artículo 1. Autorización</w:t>
      </w:r>
    </w:p>
    <w:p w14:paraId="1C925BF5" w14:textId="77777777" w:rsidR="0007113A" w:rsidRPr="0007113A" w:rsidRDefault="0007113A" w:rsidP="0007113A">
      <w:pPr>
        <w:spacing w:after="0" w:line="240" w:lineRule="auto"/>
        <w:ind w:left="0"/>
        <w:rPr>
          <w:b/>
          <w:sz w:val="22"/>
        </w:rPr>
      </w:pPr>
    </w:p>
    <w:p w14:paraId="35DE7728" w14:textId="77777777" w:rsidR="0007113A" w:rsidRPr="0007113A" w:rsidRDefault="0007113A" w:rsidP="0007113A">
      <w:pPr>
        <w:spacing w:after="0" w:line="240" w:lineRule="auto"/>
        <w:ind w:left="0"/>
        <w:rPr>
          <w:sz w:val="22"/>
        </w:rPr>
      </w:pPr>
      <w:r w:rsidRPr="0007113A">
        <w:rPr>
          <w:sz w:val="22"/>
        </w:rPr>
        <w:t xml:space="preserve">Se autorizan los montos máximos de endeudamiento a los cuales podrán acceder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para contratar deuda pública vía financiamiento que incremente el monto del endeudamiento neto adicional, en virtud del análisis previo de la capacidad de pago de los referidos municipios, del destino que se dará a los financiamientos que contraten individualmente y dispongan, respectivamente, con sustento en este y la garantía o fuente de pago que se constituirá con la afectación del derecho a recibir y los ingresos que correspondan del Fondo de Aportaciones para la Infraestructura Social Municipal y de las Demarcaciones Territoriales del Distrito Federal, autorizándose mediante el quórum específico de votación que se requiere de conformidad con lo establecido por el párrafo tercero de la fracción VIII del artículo 117 de la Constitución Política de los Estados Unidos Mexicanos.</w:t>
      </w:r>
    </w:p>
    <w:p w14:paraId="328E195E" w14:textId="77777777" w:rsidR="0007113A" w:rsidRPr="0007113A" w:rsidRDefault="0007113A" w:rsidP="0007113A">
      <w:pPr>
        <w:spacing w:after="0" w:line="240" w:lineRule="auto"/>
        <w:ind w:left="0"/>
        <w:rPr>
          <w:sz w:val="22"/>
        </w:rPr>
      </w:pPr>
    </w:p>
    <w:p w14:paraId="106FEAD7" w14:textId="77777777" w:rsidR="0007113A" w:rsidRPr="0007113A" w:rsidRDefault="0007113A" w:rsidP="0007113A">
      <w:pPr>
        <w:spacing w:after="0" w:line="240" w:lineRule="auto"/>
        <w:ind w:left="0"/>
        <w:rPr>
          <w:sz w:val="22"/>
        </w:rPr>
      </w:pPr>
      <w:r w:rsidRPr="0007113A">
        <w:rPr>
          <w:sz w:val="22"/>
        </w:rPr>
        <w:t xml:space="preserve">Este decreto es de orden público e interés social y tiene por objetivo autorizar montos máximos de endeudamiento a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para que por conducto de representantes legalmente facultados y, en términos de la ley, gestionen y contraten, de manera individual, con cualquier institución de crédito del sistema financiero mexicano, siempre que en cualquier caso ofrezca las mejores condiciones de mercado, uno o varios financiamientos, a tasa fija,</w:t>
      </w:r>
      <w:r w:rsidRPr="0007113A">
        <w:rPr>
          <w:b/>
          <w:sz w:val="22"/>
        </w:rPr>
        <w:t xml:space="preserve"> </w:t>
      </w:r>
      <w:r w:rsidRPr="0007113A">
        <w:rPr>
          <w:sz w:val="22"/>
        </w:rPr>
        <w:t xml:space="preserve">hasta por el monto máximo que para cada municipio se indica, para el destino, plazos, términos, condiciones y con las características que en este decreto se autorizan; para que afecten como fuente de pago de las obligaciones que deriven de la contratación y disposición de los financiamientos un </w:t>
      </w:r>
      <w:r w:rsidRPr="0007113A">
        <w:rPr>
          <w:sz w:val="22"/>
        </w:rPr>
        <w:lastRenderedPageBreak/>
        <w:t>porcentaje del derecho a recibir y los flujos de recursos que anual e individualmente les correspondan del Fondo de Infraestructura Social Municipal y de las Demarcaciones Territoriales del Distrito Federal, conforme a lo previsto en la Ley de Coordinación Fiscal y para que los municipios  referidos, en su caso, celebren contratos de mandato especial irrevocable para actos de dominio, o bien, formalicen los convenios que se requieran para adherirse a un fideicomiso irrevocable de administración y fuente de pago, con objeto de formalizar el mecanismo de pago del o los financiamientos que individualmente contraten, con sustento y en términos de lo que se autoriza en este decreto.</w:t>
      </w:r>
    </w:p>
    <w:p w14:paraId="3090FCB8" w14:textId="77777777" w:rsidR="0007113A" w:rsidRPr="0007113A" w:rsidRDefault="0007113A" w:rsidP="0007113A">
      <w:pPr>
        <w:tabs>
          <w:tab w:val="right" w:pos="8498"/>
        </w:tabs>
        <w:spacing w:after="0" w:line="240" w:lineRule="auto"/>
        <w:ind w:left="0"/>
        <w:rPr>
          <w:b/>
          <w:sz w:val="22"/>
        </w:rPr>
      </w:pPr>
    </w:p>
    <w:p w14:paraId="453BE4AD" w14:textId="77777777" w:rsidR="0007113A" w:rsidRPr="0007113A" w:rsidRDefault="0007113A" w:rsidP="0007113A">
      <w:pPr>
        <w:tabs>
          <w:tab w:val="right" w:pos="8498"/>
        </w:tabs>
        <w:spacing w:after="0" w:line="240" w:lineRule="auto"/>
        <w:ind w:left="0"/>
        <w:rPr>
          <w:b/>
          <w:sz w:val="22"/>
        </w:rPr>
      </w:pPr>
      <w:r w:rsidRPr="0007113A">
        <w:rPr>
          <w:b/>
          <w:sz w:val="22"/>
        </w:rPr>
        <w:t xml:space="preserve">Artículo 2. Montos máximos </w:t>
      </w:r>
    </w:p>
    <w:p w14:paraId="25C0A5C7" w14:textId="77777777" w:rsidR="0007113A" w:rsidRPr="0007113A" w:rsidRDefault="0007113A" w:rsidP="0007113A">
      <w:pPr>
        <w:tabs>
          <w:tab w:val="right" w:pos="8498"/>
        </w:tabs>
        <w:spacing w:after="0" w:line="240" w:lineRule="auto"/>
        <w:ind w:left="0"/>
        <w:rPr>
          <w:b/>
          <w:sz w:val="22"/>
        </w:rPr>
      </w:pPr>
    </w:p>
    <w:p w14:paraId="6AA49078" w14:textId="77777777" w:rsidR="0007113A" w:rsidRPr="0007113A" w:rsidRDefault="0007113A" w:rsidP="0007113A">
      <w:pPr>
        <w:spacing w:after="0" w:line="240" w:lineRule="auto"/>
        <w:ind w:left="0"/>
        <w:rPr>
          <w:sz w:val="22"/>
        </w:rPr>
      </w:pPr>
      <w:r w:rsidRPr="0007113A">
        <w:rPr>
          <w:sz w:val="22"/>
        </w:rPr>
        <w:t xml:space="preserve">Se autoriza a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el monto máximo de endeudamiento determinado en la Tabla 1 siguiente, para que por conducto del presidente municipal, síndico municipal, secretario municipal y tesorero municipal como funcionarios legalmente facultados del Ayuntamiento, contraten y ejerzan uno o varios financiamientos, bajo las mejores condiciones de mercado, con cualquier institución de crédito integrante del sistema financiero mexicano, a tasa fija, hasta por el monto máximo que en cada caso se establece, con fundamento en los artículos 50 de la Ley de Coordinación Fiscal y 9 Ter de la Ley de Coordinación Fiscal del Estado de Yucatán y en el Acuerdo 40/2022 por el que se da a conocer la fórmula, metodología y justificación de cada elemento, monto y calendario de ministraciones relativos a la distribución de los recursos del Fondo de Aportaciones para la Infraestructura Social Municipal y de las Demarcaciones Territoriales del Distrito Federal y el monto y calendario de ministraciones del Fondo de Aportaciones para el Fortalecimiento de los Municipios y de las Demarcaciones Territoriales del Distrito Federal, entre los ayuntamientos del estado de Yucatán para el ejercicio fiscal 2022, publicado el 31 de enero de 2022 en el Diario Oficial del Gobierno del Estado de Yucatán.</w:t>
      </w:r>
    </w:p>
    <w:p w14:paraId="464728E1" w14:textId="77777777" w:rsidR="0007113A" w:rsidRPr="0007113A" w:rsidRDefault="0007113A" w:rsidP="0007113A">
      <w:pPr>
        <w:spacing w:after="0" w:line="240" w:lineRule="auto"/>
        <w:ind w:left="0"/>
        <w:jc w:val="center"/>
        <w:rPr>
          <w:b/>
          <w:sz w:val="22"/>
        </w:rPr>
      </w:pPr>
    </w:p>
    <w:p w14:paraId="32F81F0C" w14:textId="77777777" w:rsidR="0007113A" w:rsidRPr="0007113A" w:rsidRDefault="0007113A" w:rsidP="0007113A">
      <w:pPr>
        <w:spacing w:after="0" w:line="240" w:lineRule="auto"/>
        <w:ind w:left="0"/>
        <w:jc w:val="center"/>
        <w:rPr>
          <w:b/>
          <w:sz w:val="22"/>
        </w:rPr>
      </w:pPr>
      <w:r w:rsidRPr="0007113A">
        <w:rPr>
          <w:b/>
          <w:sz w:val="22"/>
        </w:rPr>
        <w:t xml:space="preserve">Tabla 1 </w:t>
      </w:r>
    </w:p>
    <w:tbl>
      <w:tblPr>
        <w:tblW w:w="8772" w:type="dxa"/>
        <w:jc w:val="center"/>
        <w:tblLayout w:type="fixed"/>
        <w:tblLook w:val="0400" w:firstRow="0" w:lastRow="0" w:firstColumn="0" w:lastColumn="0" w:noHBand="0" w:noVBand="1"/>
      </w:tblPr>
      <w:tblGrid>
        <w:gridCol w:w="988"/>
        <w:gridCol w:w="2185"/>
        <w:gridCol w:w="5599"/>
      </w:tblGrid>
      <w:tr w:rsidR="0007113A" w:rsidRPr="0007113A" w14:paraId="4F8EE647" w14:textId="77777777" w:rsidTr="000A429E">
        <w:trPr>
          <w:trHeight w:val="715"/>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3CBEAFE" w14:textId="77777777" w:rsidR="0007113A" w:rsidRPr="000A429E" w:rsidRDefault="0007113A" w:rsidP="0007113A">
            <w:pPr>
              <w:spacing w:after="0" w:line="240" w:lineRule="auto"/>
              <w:ind w:left="0"/>
              <w:jc w:val="center"/>
              <w:rPr>
                <w:b/>
                <w:color w:val="auto"/>
                <w:sz w:val="22"/>
              </w:rPr>
            </w:pPr>
            <w:r w:rsidRPr="000A429E">
              <w:rPr>
                <w:b/>
                <w:color w:val="auto"/>
                <w:sz w:val="22"/>
              </w:rPr>
              <w:t>No</w:t>
            </w:r>
          </w:p>
        </w:tc>
        <w:tc>
          <w:tcPr>
            <w:tcW w:w="2185"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71031818" w14:textId="77777777" w:rsidR="0007113A" w:rsidRPr="000A429E" w:rsidRDefault="0007113A" w:rsidP="0007113A">
            <w:pPr>
              <w:spacing w:after="0" w:line="240" w:lineRule="auto"/>
              <w:ind w:left="0"/>
              <w:jc w:val="center"/>
              <w:rPr>
                <w:b/>
                <w:color w:val="auto"/>
                <w:sz w:val="22"/>
              </w:rPr>
            </w:pPr>
            <w:r w:rsidRPr="000A429E">
              <w:rPr>
                <w:b/>
                <w:color w:val="auto"/>
                <w:sz w:val="22"/>
              </w:rPr>
              <w:t>Nombre del Municipio</w:t>
            </w:r>
          </w:p>
        </w:tc>
        <w:tc>
          <w:tcPr>
            <w:tcW w:w="5599" w:type="dxa"/>
            <w:tcBorders>
              <w:top w:val="single" w:sz="4" w:space="0" w:color="000000"/>
              <w:left w:val="nil"/>
              <w:bottom w:val="single" w:sz="4" w:space="0" w:color="000000"/>
              <w:right w:val="single" w:sz="4" w:space="0" w:color="000000"/>
            </w:tcBorders>
            <w:shd w:val="clear" w:color="auto" w:fill="808080" w:themeFill="background1" w:themeFillShade="80"/>
            <w:vAlign w:val="center"/>
          </w:tcPr>
          <w:p w14:paraId="1EC03A72" w14:textId="77777777" w:rsidR="0007113A" w:rsidRPr="000A429E" w:rsidRDefault="0007113A" w:rsidP="0007113A">
            <w:pPr>
              <w:spacing w:after="0" w:line="240" w:lineRule="auto"/>
              <w:ind w:left="0"/>
              <w:jc w:val="center"/>
              <w:rPr>
                <w:b/>
                <w:color w:val="auto"/>
                <w:sz w:val="22"/>
              </w:rPr>
            </w:pPr>
            <w:r w:rsidRPr="000A429E">
              <w:rPr>
                <w:b/>
                <w:color w:val="auto"/>
                <w:sz w:val="22"/>
              </w:rPr>
              <w:t>Monto máximo que cada municipio podrá contratar (pesos)</w:t>
            </w:r>
          </w:p>
        </w:tc>
      </w:tr>
      <w:tr w:rsidR="0007113A" w:rsidRPr="0007113A" w14:paraId="2C069EEE"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38251AD8"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02839D46" w14:textId="77777777" w:rsidR="0007113A" w:rsidRPr="0007113A" w:rsidRDefault="0007113A" w:rsidP="0007113A">
            <w:pPr>
              <w:spacing w:after="0" w:line="240" w:lineRule="auto"/>
              <w:ind w:left="0"/>
              <w:jc w:val="center"/>
              <w:rPr>
                <w:sz w:val="22"/>
              </w:rPr>
            </w:pPr>
            <w:proofErr w:type="spellStart"/>
            <w:r w:rsidRPr="0007113A">
              <w:rPr>
                <w:sz w:val="22"/>
              </w:rPr>
              <w:t>Dzemul</w:t>
            </w:r>
            <w:proofErr w:type="spellEnd"/>
          </w:p>
        </w:tc>
        <w:tc>
          <w:tcPr>
            <w:tcW w:w="5599" w:type="dxa"/>
            <w:tcBorders>
              <w:top w:val="nil"/>
              <w:left w:val="nil"/>
              <w:bottom w:val="single" w:sz="4" w:space="0" w:color="000000"/>
              <w:right w:val="single" w:sz="4" w:space="0" w:color="000000"/>
            </w:tcBorders>
            <w:shd w:val="clear" w:color="auto" w:fill="auto"/>
            <w:vAlign w:val="center"/>
          </w:tcPr>
          <w:p w14:paraId="0E3540E1" w14:textId="77777777" w:rsidR="0007113A" w:rsidRPr="0007113A" w:rsidRDefault="0007113A" w:rsidP="0007113A">
            <w:pPr>
              <w:spacing w:after="0" w:line="240" w:lineRule="auto"/>
              <w:ind w:left="0"/>
              <w:jc w:val="center"/>
              <w:rPr>
                <w:sz w:val="22"/>
              </w:rPr>
            </w:pPr>
            <w:r w:rsidRPr="0007113A">
              <w:rPr>
                <w:sz w:val="22"/>
              </w:rPr>
              <w:t>2,358,239</w:t>
            </w:r>
          </w:p>
        </w:tc>
      </w:tr>
      <w:tr w:rsidR="0007113A" w:rsidRPr="0007113A" w14:paraId="20836D57"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150BDADE"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02D8384A" w14:textId="77777777" w:rsidR="0007113A" w:rsidRPr="0007113A" w:rsidRDefault="0007113A" w:rsidP="0007113A">
            <w:pPr>
              <w:spacing w:after="0" w:line="240" w:lineRule="auto"/>
              <w:ind w:left="0"/>
              <w:jc w:val="center"/>
              <w:rPr>
                <w:sz w:val="22"/>
              </w:rPr>
            </w:pPr>
            <w:proofErr w:type="spellStart"/>
            <w:r w:rsidRPr="0007113A">
              <w:rPr>
                <w:sz w:val="22"/>
              </w:rPr>
              <w:t>Hunucmá</w:t>
            </w:r>
            <w:proofErr w:type="spellEnd"/>
          </w:p>
        </w:tc>
        <w:tc>
          <w:tcPr>
            <w:tcW w:w="5599" w:type="dxa"/>
            <w:tcBorders>
              <w:top w:val="nil"/>
              <w:left w:val="nil"/>
              <w:bottom w:val="single" w:sz="4" w:space="0" w:color="000000"/>
              <w:right w:val="single" w:sz="4" w:space="0" w:color="000000"/>
            </w:tcBorders>
            <w:shd w:val="clear" w:color="auto" w:fill="auto"/>
            <w:vAlign w:val="center"/>
          </w:tcPr>
          <w:p w14:paraId="3BF426DB" w14:textId="77777777" w:rsidR="0007113A" w:rsidRPr="0007113A" w:rsidRDefault="0007113A" w:rsidP="0007113A">
            <w:pPr>
              <w:spacing w:after="0" w:line="240" w:lineRule="auto"/>
              <w:ind w:left="0"/>
              <w:jc w:val="center"/>
              <w:rPr>
                <w:sz w:val="22"/>
              </w:rPr>
            </w:pPr>
            <w:r w:rsidRPr="0007113A">
              <w:rPr>
                <w:sz w:val="22"/>
              </w:rPr>
              <w:t>17,676,219</w:t>
            </w:r>
          </w:p>
        </w:tc>
      </w:tr>
      <w:tr w:rsidR="0007113A" w:rsidRPr="0007113A" w14:paraId="4AA210AF"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6D065B8C"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27F30BDD" w14:textId="77777777" w:rsidR="0007113A" w:rsidRPr="0007113A" w:rsidRDefault="0007113A" w:rsidP="0007113A">
            <w:pPr>
              <w:spacing w:after="0" w:line="240" w:lineRule="auto"/>
              <w:ind w:left="0"/>
              <w:jc w:val="center"/>
              <w:rPr>
                <w:sz w:val="22"/>
              </w:rPr>
            </w:pPr>
            <w:proofErr w:type="spellStart"/>
            <w:r w:rsidRPr="0007113A">
              <w:rPr>
                <w:sz w:val="22"/>
              </w:rPr>
              <w:t>Temax</w:t>
            </w:r>
            <w:proofErr w:type="spellEnd"/>
          </w:p>
        </w:tc>
        <w:tc>
          <w:tcPr>
            <w:tcW w:w="5599" w:type="dxa"/>
            <w:tcBorders>
              <w:top w:val="nil"/>
              <w:left w:val="nil"/>
              <w:bottom w:val="single" w:sz="4" w:space="0" w:color="000000"/>
              <w:right w:val="single" w:sz="4" w:space="0" w:color="000000"/>
            </w:tcBorders>
            <w:shd w:val="clear" w:color="auto" w:fill="auto"/>
            <w:vAlign w:val="center"/>
          </w:tcPr>
          <w:p w14:paraId="321AD675" w14:textId="77777777" w:rsidR="0007113A" w:rsidRPr="0007113A" w:rsidRDefault="0007113A" w:rsidP="0007113A">
            <w:pPr>
              <w:spacing w:after="0" w:line="240" w:lineRule="auto"/>
              <w:ind w:left="0"/>
              <w:jc w:val="center"/>
              <w:rPr>
                <w:sz w:val="22"/>
              </w:rPr>
            </w:pPr>
            <w:r w:rsidRPr="0007113A">
              <w:rPr>
                <w:sz w:val="22"/>
              </w:rPr>
              <w:t>8,174,846</w:t>
            </w:r>
          </w:p>
        </w:tc>
      </w:tr>
      <w:tr w:rsidR="0007113A" w:rsidRPr="0007113A" w14:paraId="57644A7F"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4666DCAB"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732C76D1" w14:textId="77777777" w:rsidR="0007113A" w:rsidRPr="0007113A" w:rsidRDefault="0007113A" w:rsidP="0007113A">
            <w:pPr>
              <w:spacing w:after="0" w:line="240" w:lineRule="auto"/>
              <w:ind w:left="0"/>
              <w:jc w:val="center"/>
              <w:rPr>
                <w:sz w:val="22"/>
              </w:rPr>
            </w:pPr>
            <w:r w:rsidRPr="0007113A">
              <w:rPr>
                <w:sz w:val="22"/>
              </w:rPr>
              <w:t>Teya</w:t>
            </w:r>
          </w:p>
        </w:tc>
        <w:tc>
          <w:tcPr>
            <w:tcW w:w="5599" w:type="dxa"/>
            <w:tcBorders>
              <w:top w:val="nil"/>
              <w:left w:val="nil"/>
              <w:bottom w:val="single" w:sz="4" w:space="0" w:color="000000"/>
              <w:right w:val="single" w:sz="4" w:space="0" w:color="000000"/>
            </w:tcBorders>
            <w:shd w:val="clear" w:color="auto" w:fill="auto"/>
            <w:vAlign w:val="center"/>
          </w:tcPr>
          <w:p w14:paraId="0BD722F2" w14:textId="77777777" w:rsidR="0007113A" w:rsidRPr="0007113A" w:rsidRDefault="0007113A" w:rsidP="0007113A">
            <w:pPr>
              <w:spacing w:after="0" w:line="240" w:lineRule="auto"/>
              <w:ind w:left="0"/>
              <w:jc w:val="center"/>
              <w:rPr>
                <w:sz w:val="22"/>
              </w:rPr>
            </w:pPr>
            <w:r w:rsidRPr="0007113A">
              <w:rPr>
                <w:sz w:val="22"/>
              </w:rPr>
              <w:t>2,529,966</w:t>
            </w:r>
          </w:p>
        </w:tc>
      </w:tr>
      <w:tr w:rsidR="0007113A" w:rsidRPr="0007113A" w14:paraId="32AC9764"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3D8AC6E6"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0FFD3A74" w14:textId="77777777" w:rsidR="0007113A" w:rsidRPr="0007113A" w:rsidRDefault="0007113A" w:rsidP="0007113A">
            <w:pPr>
              <w:spacing w:after="0" w:line="240" w:lineRule="auto"/>
              <w:ind w:left="0"/>
              <w:jc w:val="center"/>
              <w:rPr>
                <w:sz w:val="22"/>
              </w:rPr>
            </w:pPr>
            <w:proofErr w:type="spellStart"/>
            <w:r w:rsidRPr="0007113A">
              <w:rPr>
                <w:sz w:val="22"/>
              </w:rPr>
              <w:t>Tizimín</w:t>
            </w:r>
            <w:proofErr w:type="spellEnd"/>
          </w:p>
        </w:tc>
        <w:tc>
          <w:tcPr>
            <w:tcW w:w="5599" w:type="dxa"/>
            <w:tcBorders>
              <w:top w:val="nil"/>
              <w:left w:val="nil"/>
              <w:bottom w:val="single" w:sz="4" w:space="0" w:color="000000"/>
              <w:right w:val="single" w:sz="4" w:space="0" w:color="000000"/>
            </w:tcBorders>
            <w:shd w:val="clear" w:color="auto" w:fill="auto"/>
            <w:vAlign w:val="center"/>
          </w:tcPr>
          <w:p w14:paraId="00B81FE7" w14:textId="77777777" w:rsidR="0007113A" w:rsidRPr="0007113A" w:rsidRDefault="0007113A" w:rsidP="0007113A">
            <w:pPr>
              <w:spacing w:after="0" w:line="240" w:lineRule="auto"/>
              <w:ind w:left="0"/>
              <w:jc w:val="center"/>
              <w:rPr>
                <w:sz w:val="22"/>
              </w:rPr>
            </w:pPr>
            <w:r w:rsidRPr="0007113A">
              <w:rPr>
                <w:sz w:val="22"/>
              </w:rPr>
              <w:t>68,035,634</w:t>
            </w:r>
          </w:p>
        </w:tc>
      </w:tr>
      <w:tr w:rsidR="0007113A" w:rsidRPr="0007113A" w14:paraId="4E683D2B" w14:textId="77777777" w:rsidTr="001A240C">
        <w:trPr>
          <w:trHeight w:val="330"/>
          <w:jc w:val="center"/>
        </w:trPr>
        <w:tc>
          <w:tcPr>
            <w:tcW w:w="988" w:type="dxa"/>
            <w:tcBorders>
              <w:top w:val="nil"/>
              <w:left w:val="single" w:sz="4" w:space="0" w:color="000000"/>
              <w:bottom w:val="single" w:sz="4" w:space="0" w:color="000000"/>
              <w:right w:val="single" w:sz="4" w:space="0" w:color="000000"/>
            </w:tcBorders>
            <w:shd w:val="clear" w:color="auto" w:fill="auto"/>
            <w:vAlign w:val="center"/>
          </w:tcPr>
          <w:p w14:paraId="2238B332" w14:textId="77777777" w:rsidR="0007113A" w:rsidRPr="0007113A" w:rsidRDefault="0007113A" w:rsidP="0007113A">
            <w:pPr>
              <w:numPr>
                <w:ilvl w:val="0"/>
                <w:numId w:val="5"/>
              </w:numPr>
              <w:pBdr>
                <w:top w:val="nil"/>
                <w:left w:val="nil"/>
                <w:bottom w:val="nil"/>
                <w:right w:val="nil"/>
                <w:between w:val="nil"/>
              </w:pBdr>
              <w:spacing w:after="0" w:line="240" w:lineRule="auto"/>
              <w:ind w:left="0" w:right="0"/>
              <w:jc w:val="left"/>
              <w:rPr>
                <w:sz w:val="22"/>
              </w:rPr>
            </w:pPr>
          </w:p>
        </w:tc>
        <w:tc>
          <w:tcPr>
            <w:tcW w:w="2185" w:type="dxa"/>
            <w:tcBorders>
              <w:top w:val="nil"/>
              <w:left w:val="nil"/>
              <w:bottom w:val="single" w:sz="4" w:space="0" w:color="000000"/>
              <w:right w:val="single" w:sz="4" w:space="0" w:color="000000"/>
            </w:tcBorders>
            <w:shd w:val="clear" w:color="auto" w:fill="auto"/>
            <w:vAlign w:val="center"/>
          </w:tcPr>
          <w:p w14:paraId="743F384D" w14:textId="77777777" w:rsidR="0007113A" w:rsidRPr="0007113A" w:rsidRDefault="0007113A" w:rsidP="0007113A">
            <w:pPr>
              <w:spacing w:after="0" w:line="240" w:lineRule="auto"/>
              <w:ind w:left="0"/>
              <w:jc w:val="center"/>
              <w:rPr>
                <w:sz w:val="22"/>
              </w:rPr>
            </w:pPr>
            <w:proofErr w:type="spellStart"/>
            <w:r w:rsidRPr="0007113A">
              <w:rPr>
                <w:sz w:val="22"/>
              </w:rPr>
              <w:t>Tzucacab</w:t>
            </w:r>
            <w:proofErr w:type="spellEnd"/>
          </w:p>
        </w:tc>
        <w:tc>
          <w:tcPr>
            <w:tcW w:w="5599" w:type="dxa"/>
            <w:tcBorders>
              <w:top w:val="nil"/>
              <w:left w:val="nil"/>
              <w:bottom w:val="single" w:sz="4" w:space="0" w:color="000000"/>
              <w:right w:val="single" w:sz="4" w:space="0" w:color="000000"/>
            </w:tcBorders>
            <w:shd w:val="clear" w:color="auto" w:fill="auto"/>
            <w:vAlign w:val="center"/>
          </w:tcPr>
          <w:p w14:paraId="385FCDD5" w14:textId="77777777" w:rsidR="0007113A" w:rsidRPr="0007113A" w:rsidRDefault="0007113A" w:rsidP="0007113A">
            <w:pPr>
              <w:spacing w:after="0" w:line="240" w:lineRule="auto"/>
              <w:ind w:left="0"/>
              <w:jc w:val="center"/>
              <w:rPr>
                <w:sz w:val="22"/>
              </w:rPr>
            </w:pPr>
            <w:r w:rsidRPr="0007113A">
              <w:rPr>
                <w:sz w:val="22"/>
              </w:rPr>
              <w:t>20,648,081</w:t>
            </w:r>
          </w:p>
        </w:tc>
      </w:tr>
    </w:tbl>
    <w:p w14:paraId="0FFF7DD4" w14:textId="77777777" w:rsidR="0007113A" w:rsidRPr="0007113A" w:rsidRDefault="0007113A" w:rsidP="0007113A">
      <w:pPr>
        <w:spacing w:after="0" w:line="240" w:lineRule="auto"/>
        <w:ind w:left="0"/>
        <w:rPr>
          <w:sz w:val="22"/>
        </w:rPr>
      </w:pPr>
      <w:bookmarkStart w:id="1" w:name="_gjdgxs" w:colFirst="0" w:colLast="0"/>
      <w:bookmarkEnd w:id="1"/>
    </w:p>
    <w:p w14:paraId="578AF45F" w14:textId="77777777" w:rsidR="0007113A" w:rsidRPr="0007113A" w:rsidRDefault="0007113A" w:rsidP="0007113A">
      <w:pPr>
        <w:spacing w:after="0" w:line="240" w:lineRule="auto"/>
        <w:ind w:left="0"/>
        <w:rPr>
          <w:sz w:val="22"/>
        </w:rPr>
      </w:pPr>
      <w:r w:rsidRPr="0007113A">
        <w:rPr>
          <w:sz w:val="22"/>
        </w:rPr>
        <w:t>Los montos máximos que se precisan en la tabla anterior no comprenden los intereses, comisiones y demás accesorios que se establecerán en el o los instrumentos mediante los cuales se formalicen el o los financiamientos que cada municipio decida contratar con sustento en este decreto.</w:t>
      </w:r>
    </w:p>
    <w:p w14:paraId="08CDCFDC" w14:textId="77777777" w:rsidR="0007113A" w:rsidRPr="0007113A" w:rsidRDefault="0007113A" w:rsidP="0007113A">
      <w:pPr>
        <w:spacing w:after="0" w:line="240" w:lineRule="auto"/>
        <w:ind w:left="0"/>
        <w:rPr>
          <w:sz w:val="22"/>
        </w:rPr>
      </w:pPr>
    </w:p>
    <w:p w14:paraId="5AABDB40" w14:textId="77777777" w:rsidR="0007113A" w:rsidRPr="0007113A" w:rsidRDefault="0007113A" w:rsidP="0007113A">
      <w:pPr>
        <w:spacing w:after="0" w:line="240" w:lineRule="auto"/>
        <w:ind w:left="0"/>
        <w:rPr>
          <w:sz w:val="22"/>
        </w:rPr>
      </w:pPr>
      <w:r w:rsidRPr="0007113A">
        <w:rPr>
          <w:sz w:val="22"/>
        </w:rPr>
        <w:lastRenderedPageBreak/>
        <w:t>El monto de cada financiamiento que individualmente decida contratar el municipio de que se trate, podrá determinarse en lo particular en el correspondiente contrato de apertura de crédito simple que al efecto se suscriba, sin exceder el monto máximo determinado en la Tabla 1 anterior, para cada municipio.</w:t>
      </w:r>
    </w:p>
    <w:p w14:paraId="0E070629" w14:textId="77777777" w:rsidR="0007113A" w:rsidRPr="0007113A" w:rsidRDefault="0007113A" w:rsidP="0007113A">
      <w:pPr>
        <w:spacing w:after="0" w:line="240" w:lineRule="auto"/>
        <w:ind w:left="0"/>
        <w:rPr>
          <w:sz w:val="22"/>
        </w:rPr>
      </w:pPr>
    </w:p>
    <w:p w14:paraId="3E84198D" w14:textId="77777777" w:rsidR="0007113A" w:rsidRPr="0007113A" w:rsidRDefault="0007113A" w:rsidP="0007113A">
      <w:pPr>
        <w:spacing w:after="0" w:line="240" w:lineRule="auto"/>
        <w:ind w:left="0"/>
        <w:rPr>
          <w:sz w:val="22"/>
        </w:rPr>
      </w:pPr>
      <w:r w:rsidRPr="0007113A">
        <w:rPr>
          <w:sz w:val="22"/>
        </w:rPr>
        <w:t>En caso de que los municipios referidos decidan contratar y ejercer uno o varios financiamientos, deberán afectar un porcentaje del derecho a recibir y de los ingresos que anual e individualmente les correspondan del Fondo de Aportaciones para la Infraestructura Social Municipal y de las Demarcaciones Territoriales del Distrito Federal y celebrar los instrumentos jurídicos necesarios con objeto de formalizar el mecanismo de pago del o los financiamientos que contraten en lo individual; es decir, contratos de mandato especial irrevocable para actos de dominio con la Secretaría de Administración y Finanzas del Poder Ejecutivo del Estado de Yucatán, o bien, los convenios necesarios para adherirse a un fideicomiso irrevocable de administración y fuente de pago, para lo cual deberán obtener previamente la autorización de sus respectivos cabildos mediante el voto de las dos terceras partes de sus integrantes, de conformidad con lo establecido en el artículo 13 de la Ley de Deuda Pública del Estado de Yucatán.</w:t>
      </w:r>
    </w:p>
    <w:p w14:paraId="6CD51B13" w14:textId="77777777" w:rsidR="0007113A" w:rsidRPr="0007113A" w:rsidRDefault="0007113A" w:rsidP="0007113A">
      <w:pPr>
        <w:tabs>
          <w:tab w:val="right" w:pos="8498"/>
        </w:tabs>
        <w:spacing w:after="0" w:line="240" w:lineRule="auto"/>
        <w:ind w:left="0"/>
        <w:rPr>
          <w:b/>
          <w:sz w:val="22"/>
        </w:rPr>
      </w:pPr>
    </w:p>
    <w:p w14:paraId="467C9479" w14:textId="77777777" w:rsidR="0007113A" w:rsidRPr="0007113A" w:rsidRDefault="0007113A" w:rsidP="0007113A">
      <w:pPr>
        <w:tabs>
          <w:tab w:val="right" w:pos="8498"/>
        </w:tabs>
        <w:spacing w:after="0" w:line="240" w:lineRule="auto"/>
        <w:ind w:left="0"/>
        <w:rPr>
          <w:b/>
          <w:sz w:val="22"/>
        </w:rPr>
      </w:pPr>
      <w:r w:rsidRPr="0007113A">
        <w:rPr>
          <w:b/>
          <w:sz w:val="22"/>
        </w:rPr>
        <w:t>Artículo 3. Contratación de financiamiento</w:t>
      </w:r>
    </w:p>
    <w:p w14:paraId="3458C771" w14:textId="77777777" w:rsidR="0007113A" w:rsidRPr="0007113A" w:rsidRDefault="0007113A" w:rsidP="0007113A">
      <w:pPr>
        <w:tabs>
          <w:tab w:val="right" w:pos="8498"/>
        </w:tabs>
        <w:spacing w:after="0" w:line="240" w:lineRule="auto"/>
        <w:ind w:left="0"/>
        <w:rPr>
          <w:sz w:val="22"/>
        </w:rPr>
      </w:pPr>
    </w:p>
    <w:p w14:paraId="4CE7F997" w14:textId="77777777" w:rsidR="0007113A" w:rsidRPr="0007113A" w:rsidRDefault="0007113A" w:rsidP="0007113A">
      <w:pPr>
        <w:spacing w:after="0" w:line="240" w:lineRule="auto"/>
        <w:ind w:left="0"/>
        <w:rPr>
          <w:sz w:val="22"/>
        </w:rPr>
      </w:pPr>
      <w:r w:rsidRPr="0007113A">
        <w:rPr>
          <w:sz w:val="22"/>
        </w:rPr>
        <w:t xml:space="preserve">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podrán negociar con la institución de crédito integrante del sistema financiero mexicano </w:t>
      </w:r>
      <w:proofErr w:type="spellStart"/>
      <w:r w:rsidRPr="0007113A">
        <w:rPr>
          <w:sz w:val="22"/>
        </w:rPr>
        <w:t>acreditante</w:t>
      </w:r>
      <w:proofErr w:type="spellEnd"/>
      <w:r w:rsidRPr="0007113A">
        <w:rPr>
          <w:sz w:val="22"/>
        </w:rPr>
        <w:t>, los términos y condiciones del o los financiamientos que cada uno de ellos decida contratar, con excepción de la tasa fija, en el entendido que para determinar el monto de cada financiamiento, deberán considerarse los recursos que anualmente podrán destinar del Fondo de Aportaciones para la Infraestructura Social Municipal y de las Demarcaciones Territoriales del Distrito Federal para el pago del servicio de su deuda, incluidos el pago de capital, comisiones, intereses y accesorios financieros, no podrán exceder del 25% (veinticinco por ciento) anual del derecho a recibir y los flujos de recursos que individualmente les correspondan por este concepto en el ejercicio fiscal que se encuentre transcurriendo, o bien, en el año en que el financiamiento de que se trate hubiere sido contratado, lo que resulte mayor, en términos de lo previsto en el artículo 50 de la Ley de Coordinación Fiscal.</w:t>
      </w:r>
    </w:p>
    <w:p w14:paraId="7A5EF0E4" w14:textId="77777777" w:rsidR="0007113A" w:rsidRPr="0007113A" w:rsidRDefault="0007113A" w:rsidP="0007113A">
      <w:pPr>
        <w:spacing w:after="0" w:line="240" w:lineRule="auto"/>
        <w:ind w:left="0"/>
        <w:rPr>
          <w:sz w:val="22"/>
        </w:rPr>
      </w:pPr>
    </w:p>
    <w:p w14:paraId="274C4F45" w14:textId="77777777" w:rsidR="0007113A" w:rsidRPr="0007113A" w:rsidRDefault="0007113A" w:rsidP="0007113A">
      <w:pPr>
        <w:spacing w:after="0" w:line="240" w:lineRule="auto"/>
        <w:ind w:left="0"/>
        <w:rPr>
          <w:sz w:val="22"/>
        </w:rPr>
      </w:pPr>
      <w:r w:rsidRPr="0007113A">
        <w:rPr>
          <w:sz w:val="22"/>
        </w:rPr>
        <w:t xml:space="preserve">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podrán contratar o ejercer uno o varios financiamientos hasta por el plazo, monto máximo y características establecidas en el presente decreto, en el transcurso de los ejercicios fiscales 2022 y 2023 inclusive, pero en cualquier caso deberán pagarlos en su totalidad en un plazo que no exceda el período constitucional de la administración municipal que lo contrate, esto es, las obligaciones de pago contraídas deberán quedar liquidadas a más tardar el 1 de agosto de 2024, en el entendido que cada contrato individual que al efecto se celebre deberá precisar el plazo máximo en días y la fecha específica de vencimiento para el financiamiento.</w:t>
      </w:r>
    </w:p>
    <w:p w14:paraId="3589C808" w14:textId="77777777" w:rsidR="0007113A" w:rsidRPr="0007113A" w:rsidRDefault="0007113A" w:rsidP="0007113A">
      <w:pPr>
        <w:spacing w:after="0" w:line="240" w:lineRule="auto"/>
        <w:ind w:left="0"/>
        <w:rPr>
          <w:sz w:val="22"/>
        </w:rPr>
      </w:pPr>
    </w:p>
    <w:p w14:paraId="01CBBD11" w14:textId="77777777" w:rsidR="0007113A" w:rsidRPr="0007113A" w:rsidRDefault="0007113A" w:rsidP="0007113A">
      <w:pPr>
        <w:spacing w:after="0" w:line="240" w:lineRule="auto"/>
        <w:ind w:left="0"/>
        <w:rPr>
          <w:sz w:val="22"/>
        </w:rPr>
      </w:pPr>
      <w:r w:rsidRPr="0007113A">
        <w:rPr>
          <w:sz w:val="22"/>
        </w:rPr>
        <w:t>La contratación de los financiamientos, deberá llevarse a cabo en las mejores condiciones de mercado, para lo cual los municipios del estado de Yucatán, de manera individual a través de funcionarios facultados para ello, implementarán el proceso competitivo respectivo.</w:t>
      </w:r>
    </w:p>
    <w:p w14:paraId="0020E6B5" w14:textId="77777777" w:rsidR="0007113A" w:rsidRPr="0007113A" w:rsidRDefault="0007113A" w:rsidP="0007113A">
      <w:pPr>
        <w:spacing w:after="0" w:line="240" w:lineRule="auto"/>
        <w:ind w:left="0"/>
        <w:rPr>
          <w:sz w:val="22"/>
        </w:rPr>
      </w:pPr>
    </w:p>
    <w:p w14:paraId="093F63B5" w14:textId="77777777" w:rsidR="0007113A" w:rsidRPr="0007113A" w:rsidRDefault="0007113A" w:rsidP="0007113A">
      <w:pPr>
        <w:spacing w:after="0" w:line="240" w:lineRule="auto"/>
        <w:ind w:left="0"/>
        <w:rPr>
          <w:sz w:val="22"/>
        </w:rPr>
      </w:pPr>
      <w:r w:rsidRPr="0007113A">
        <w:rPr>
          <w:sz w:val="22"/>
        </w:rPr>
        <w:lastRenderedPageBreak/>
        <w:t xml:space="preserve">Adicionalmente, se autoriza que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puedan agruparse para que, entre dos o más de ellos, realicen el proceso competitivo a su favor, con objeto de obtener mejores condiciones de mercado, que si lo hicieren de manera individual.</w:t>
      </w:r>
    </w:p>
    <w:p w14:paraId="4FEB5B46" w14:textId="77777777" w:rsidR="0007113A" w:rsidRPr="0007113A" w:rsidRDefault="0007113A" w:rsidP="0007113A">
      <w:pPr>
        <w:tabs>
          <w:tab w:val="right" w:pos="8498"/>
        </w:tabs>
        <w:spacing w:after="0" w:line="240" w:lineRule="auto"/>
        <w:ind w:left="0"/>
        <w:rPr>
          <w:b/>
          <w:sz w:val="22"/>
        </w:rPr>
      </w:pPr>
    </w:p>
    <w:p w14:paraId="1319672C" w14:textId="77777777" w:rsidR="0007113A" w:rsidRPr="0007113A" w:rsidRDefault="0007113A" w:rsidP="0007113A">
      <w:pPr>
        <w:tabs>
          <w:tab w:val="right" w:pos="8498"/>
        </w:tabs>
        <w:spacing w:after="0" w:line="240" w:lineRule="auto"/>
        <w:ind w:left="0"/>
        <w:rPr>
          <w:b/>
          <w:sz w:val="22"/>
        </w:rPr>
      </w:pPr>
      <w:r w:rsidRPr="0007113A">
        <w:rPr>
          <w:b/>
          <w:sz w:val="22"/>
        </w:rPr>
        <w:t>Artículo 4. Inscripción del financiamiento</w:t>
      </w:r>
    </w:p>
    <w:p w14:paraId="5097B530" w14:textId="77777777" w:rsidR="0007113A" w:rsidRPr="0007113A" w:rsidRDefault="0007113A" w:rsidP="0007113A">
      <w:pPr>
        <w:tabs>
          <w:tab w:val="right" w:pos="8498"/>
        </w:tabs>
        <w:spacing w:after="0" w:line="240" w:lineRule="auto"/>
        <w:ind w:left="0"/>
        <w:rPr>
          <w:b/>
          <w:sz w:val="22"/>
        </w:rPr>
      </w:pPr>
    </w:p>
    <w:p w14:paraId="670EC0BC" w14:textId="77777777" w:rsidR="0007113A" w:rsidRPr="0007113A" w:rsidRDefault="0007113A" w:rsidP="0007113A">
      <w:pPr>
        <w:spacing w:after="0" w:line="240" w:lineRule="auto"/>
        <w:ind w:left="0"/>
        <w:rPr>
          <w:sz w:val="22"/>
        </w:rPr>
      </w:pPr>
      <w:r w:rsidRPr="0007113A">
        <w:rPr>
          <w:sz w:val="22"/>
        </w:rPr>
        <w:t>Las obligaciones que deriven de los financiamientos que contraten los municipios referidos en el artículo 1, de manera individual, con base en este decreto, constituirán deuda pública; en consecuencia, deberán inscribirse en el Registro de Empréstitos y Obligaciones del Estado de Yucatán, a cargo de la Secretaría de Administración y Finanzas, y ante el Registro Público Único de Financiamientos y Obligaciones de Entidades Federativas y Municipios que lleva la Secretaría de Hacienda y Crédito Público, en los términos que establecen las disposiciones legales y administrativas aplicables.</w:t>
      </w:r>
    </w:p>
    <w:p w14:paraId="3C04E562" w14:textId="77777777" w:rsidR="0007113A" w:rsidRPr="0007113A" w:rsidRDefault="0007113A" w:rsidP="0007113A">
      <w:pPr>
        <w:spacing w:after="0" w:line="240" w:lineRule="auto"/>
        <w:ind w:left="0"/>
        <w:rPr>
          <w:b/>
          <w:sz w:val="22"/>
        </w:rPr>
      </w:pPr>
    </w:p>
    <w:p w14:paraId="22E0A876" w14:textId="77777777" w:rsidR="0007113A" w:rsidRPr="0007113A" w:rsidRDefault="0007113A" w:rsidP="0007113A">
      <w:pPr>
        <w:tabs>
          <w:tab w:val="right" w:pos="8498"/>
        </w:tabs>
        <w:spacing w:after="0" w:line="240" w:lineRule="auto"/>
        <w:ind w:left="0"/>
        <w:rPr>
          <w:b/>
          <w:sz w:val="22"/>
        </w:rPr>
      </w:pPr>
      <w:r w:rsidRPr="0007113A">
        <w:rPr>
          <w:b/>
          <w:sz w:val="22"/>
        </w:rPr>
        <w:t>Artículo 5. Destino de los recursos</w:t>
      </w:r>
    </w:p>
    <w:p w14:paraId="1FAB71C3" w14:textId="77777777" w:rsidR="0007113A" w:rsidRPr="0007113A" w:rsidRDefault="0007113A" w:rsidP="0007113A">
      <w:pPr>
        <w:tabs>
          <w:tab w:val="right" w:pos="8498"/>
        </w:tabs>
        <w:spacing w:after="0" w:line="240" w:lineRule="auto"/>
        <w:ind w:left="0"/>
        <w:rPr>
          <w:b/>
          <w:sz w:val="22"/>
        </w:rPr>
      </w:pPr>
    </w:p>
    <w:p w14:paraId="0F3816D7" w14:textId="77777777" w:rsidR="0007113A" w:rsidRPr="0007113A" w:rsidRDefault="0007113A" w:rsidP="0007113A">
      <w:pPr>
        <w:spacing w:after="0" w:line="240" w:lineRule="auto"/>
        <w:ind w:left="0"/>
        <w:rPr>
          <w:sz w:val="22"/>
        </w:rPr>
      </w:pPr>
      <w:r w:rsidRPr="0007113A">
        <w:rPr>
          <w:sz w:val="22"/>
        </w:rPr>
        <w:t>Los recursos obtenidos de los financiamientos que se contraten con base en la presente autorización, deberán destinarse de conformidad con lo que dispone el artículo 33, Inciso A, Numeral I, de la Ley de Coordinación Fiscal y lo previsto en el catálogo de acciones establecido en los Lineamientos del Fondo de Aportaciones para la Infraestructura Social, emitidos por la Secretaría de Bienestar y publicados en el Diario Oficial de la Federación el 25 de enero de 2022, incluidas las modificaciones que de dicho ordenamiento jurídico se efectúen de tiempo en tiempo, o aquellos que lo sustituyan, y que se consideren inversiones públicas productivas en términos de lo que dispone el artículo 2, fracción XXV, de la Ley de Disciplina Financiera de las Entidades Federativas y los Municipios.</w:t>
      </w:r>
    </w:p>
    <w:p w14:paraId="75D0F724" w14:textId="77777777" w:rsidR="0007113A" w:rsidRPr="0007113A" w:rsidRDefault="0007113A" w:rsidP="0007113A">
      <w:pPr>
        <w:spacing w:after="0" w:line="240" w:lineRule="auto"/>
        <w:ind w:left="0"/>
        <w:rPr>
          <w:sz w:val="22"/>
        </w:rPr>
      </w:pPr>
    </w:p>
    <w:p w14:paraId="6CA61364" w14:textId="77777777" w:rsidR="0007113A" w:rsidRPr="0007113A" w:rsidRDefault="0007113A" w:rsidP="0007113A">
      <w:pPr>
        <w:spacing w:after="0" w:line="240" w:lineRule="auto"/>
        <w:ind w:left="0"/>
        <w:rPr>
          <w:sz w:val="22"/>
        </w:rPr>
      </w:pPr>
      <w:r w:rsidRPr="0007113A">
        <w:rPr>
          <w:sz w:val="22"/>
        </w:rPr>
        <w:t>Esto es, los recursos se destinarán a financiar, incluido en su caso el Impuesto al Valor Agregado, 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siguientes rubros:</w:t>
      </w:r>
    </w:p>
    <w:p w14:paraId="3A42D226" w14:textId="77777777" w:rsidR="0007113A" w:rsidRPr="0007113A" w:rsidRDefault="0007113A" w:rsidP="0007113A">
      <w:pPr>
        <w:spacing w:after="0" w:line="240" w:lineRule="auto"/>
        <w:ind w:left="0" w:firstLine="709"/>
        <w:rPr>
          <w:sz w:val="22"/>
        </w:rPr>
      </w:pPr>
    </w:p>
    <w:p w14:paraId="3084C828" w14:textId="77777777" w:rsidR="0007113A" w:rsidRPr="0007113A" w:rsidRDefault="0007113A" w:rsidP="0007113A">
      <w:pPr>
        <w:spacing w:after="0" w:line="240" w:lineRule="auto"/>
        <w:ind w:left="0" w:firstLine="709"/>
        <w:rPr>
          <w:sz w:val="22"/>
        </w:rPr>
      </w:pPr>
      <w:r w:rsidRPr="0007113A">
        <w:rPr>
          <w:sz w:val="22"/>
        </w:rPr>
        <w:t>I. Agua potable.</w:t>
      </w:r>
    </w:p>
    <w:p w14:paraId="70FF83E4" w14:textId="77777777" w:rsidR="0007113A" w:rsidRPr="0007113A" w:rsidRDefault="0007113A" w:rsidP="0007113A">
      <w:pPr>
        <w:spacing w:after="0" w:line="240" w:lineRule="auto"/>
        <w:ind w:left="0" w:firstLine="709"/>
        <w:rPr>
          <w:sz w:val="22"/>
        </w:rPr>
      </w:pPr>
      <w:r w:rsidRPr="0007113A">
        <w:rPr>
          <w:sz w:val="22"/>
        </w:rPr>
        <w:t>II. Alcantarillado.</w:t>
      </w:r>
    </w:p>
    <w:p w14:paraId="1573A81C" w14:textId="77777777" w:rsidR="0007113A" w:rsidRPr="0007113A" w:rsidRDefault="0007113A" w:rsidP="0007113A">
      <w:pPr>
        <w:spacing w:after="0" w:line="240" w:lineRule="auto"/>
        <w:ind w:left="0" w:firstLine="709"/>
        <w:rPr>
          <w:sz w:val="22"/>
        </w:rPr>
      </w:pPr>
      <w:r w:rsidRPr="0007113A">
        <w:rPr>
          <w:sz w:val="22"/>
        </w:rPr>
        <w:t>III. Drenaje.</w:t>
      </w:r>
    </w:p>
    <w:p w14:paraId="1104EB67" w14:textId="77777777" w:rsidR="0007113A" w:rsidRPr="0007113A" w:rsidRDefault="0007113A" w:rsidP="0007113A">
      <w:pPr>
        <w:spacing w:after="0" w:line="240" w:lineRule="auto"/>
        <w:ind w:left="0" w:firstLine="709"/>
        <w:rPr>
          <w:sz w:val="22"/>
        </w:rPr>
      </w:pPr>
      <w:r w:rsidRPr="0007113A">
        <w:rPr>
          <w:sz w:val="22"/>
        </w:rPr>
        <w:t>IV. Urbanización.</w:t>
      </w:r>
    </w:p>
    <w:p w14:paraId="04C78EDC" w14:textId="77777777" w:rsidR="0007113A" w:rsidRPr="0007113A" w:rsidRDefault="0007113A" w:rsidP="0007113A">
      <w:pPr>
        <w:spacing w:after="0" w:line="240" w:lineRule="auto"/>
        <w:ind w:left="0" w:firstLine="709"/>
        <w:rPr>
          <w:sz w:val="22"/>
        </w:rPr>
      </w:pPr>
      <w:r w:rsidRPr="0007113A">
        <w:rPr>
          <w:sz w:val="22"/>
        </w:rPr>
        <w:t>V. Electrificación rural y de colonias pobres.</w:t>
      </w:r>
    </w:p>
    <w:p w14:paraId="76C0497D" w14:textId="77777777" w:rsidR="0007113A" w:rsidRPr="0007113A" w:rsidRDefault="0007113A" w:rsidP="0007113A">
      <w:pPr>
        <w:spacing w:after="0" w:line="240" w:lineRule="auto"/>
        <w:ind w:left="0" w:firstLine="709"/>
        <w:rPr>
          <w:sz w:val="22"/>
        </w:rPr>
      </w:pPr>
      <w:r w:rsidRPr="0007113A">
        <w:rPr>
          <w:sz w:val="22"/>
        </w:rPr>
        <w:t>VI. Infraestructura básica del sector salud y educativo.</w:t>
      </w:r>
    </w:p>
    <w:p w14:paraId="49D029C2" w14:textId="77777777" w:rsidR="0007113A" w:rsidRPr="0007113A" w:rsidRDefault="0007113A" w:rsidP="0007113A">
      <w:pPr>
        <w:spacing w:after="0" w:line="240" w:lineRule="auto"/>
        <w:ind w:left="0"/>
        <w:rPr>
          <w:sz w:val="22"/>
        </w:rPr>
      </w:pPr>
    </w:p>
    <w:p w14:paraId="51DEE04D" w14:textId="77777777" w:rsidR="0007113A" w:rsidRPr="0007113A" w:rsidRDefault="0007113A" w:rsidP="0007113A">
      <w:pPr>
        <w:spacing w:after="0" w:line="240" w:lineRule="auto"/>
        <w:ind w:left="0"/>
        <w:rPr>
          <w:b/>
          <w:sz w:val="22"/>
        </w:rPr>
      </w:pPr>
      <w:r w:rsidRPr="0007113A">
        <w:rPr>
          <w:sz w:val="22"/>
        </w:rPr>
        <w:t>Los municipios previstos en el artículo 1 que contraten uno o más financiamientos  vigilarán que el manejo de los recursos se encuentre estrictamente apegado a los principios legalidad, honestidad, eficacia, eficiencia, economía, racionalidad, austeridad, transparencia, control y rendición de cuentas, antepuestos en la Ley de Disciplina Financiera de las Entidades Federativas y los Municipios.</w:t>
      </w:r>
    </w:p>
    <w:p w14:paraId="6E4FC83B" w14:textId="77777777" w:rsidR="0007113A" w:rsidRPr="0007113A" w:rsidRDefault="0007113A" w:rsidP="0007113A">
      <w:pPr>
        <w:spacing w:after="0" w:line="240" w:lineRule="auto"/>
        <w:ind w:left="0"/>
        <w:rPr>
          <w:b/>
          <w:sz w:val="22"/>
        </w:rPr>
      </w:pPr>
    </w:p>
    <w:p w14:paraId="05C16C9C" w14:textId="77777777" w:rsidR="0007113A" w:rsidRPr="0007113A" w:rsidRDefault="0007113A" w:rsidP="0007113A">
      <w:pPr>
        <w:spacing w:after="0" w:line="240" w:lineRule="auto"/>
        <w:ind w:left="0"/>
        <w:rPr>
          <w:b/>
          <w:sz w:val="22"/>
        </w:rPr>
      </w:pPr>
    </w:p>
    <w:p w14:paraId="687042CF" w14:textId="77777777" w:rsidR="0007113A" w:rsidRPr="0007113A" w:rsidRDefault="0007113A" w:rsidP="0007113A">
      <w:pPr>
        <w:spacing w:after="0" w:line="240" w:lineRule="auto"/>
        <w:ind w:left="0"/>
        <w:rPr>
          <w:b/>
          <w:sz w:val="22"/>
        </w:rPr>
      </w:pPr>
      <w:r w:rsidRPr="0007113A">
        <w:rPr>
          <w:b/>
          <w:sz w:val="22"/>
        </w:rPr>
        <w:t>Artículo 6. Amortización</w:t>
      </w:r>
    </w:p>
    <w:p w14:paraId="35BFEA7F" w14:textId="77777777" w:rsidR="0007113A" w:rsidRPr="0007113A" w:rsidRDefault="0007113A" w:rsidP="0007113A">
      <w:pPr>
        <w:spacing w:after="0" w:line="240" w:lineRule="auto"/>
        <w:ind w:left="0"/>
        <w:rPr>
          <w:b/>
          <w:sz w:val="22"/>
        </w:rPr>
      </w:pPr>
    </w:p>
    <w:p w14:paraId="1E93E82D" w14:textId="77777777" w:rsidR="0007113A" w:rsidRPr="0007113A" w:rsidRDefault="0007113A" w:rsidP="0007113A">
      <w:pPr>
        <w:spacing w:after="0" w:line="240" w:lineRule="auto"/>
        <w:ind w:left="0"/>
        <w:rPr>
          <w:sz w:val="22"/>
        </w:rPr>
      </w:pPr>
      <w:r w:rsidRPr="0007113A">
        <w:rPr>
          <w:sz w:val="22"/>
        </w:rPr>
        <w:t>Los financiamientos a que se refiere este decreto deberán amortizarse en su totalidad dentro del período constitucional de la administración que lo contrate, a más tardar el 1 de agosto de 2024, con apego en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Federativas y Municipios.</w:t>
      </w:r>
    </w:p>
    <w:p w14:paraId="2B3EB840" w14:textId="77777777" w:rsidR="0007113A" w:rsidRPr="0007113A" w:rsidRDefault="0007113A" w:rsidP="0007113A">
      <w:pPr>
        <w:spacing w:after="0" w:line="240" w:lineRule="auto"/>
        <w:ind w:left="0"/>
        <w:rPr>
          <w:sz w:val="22"/>
        </w:rPr>
      </w:pPr>
    </w:p>
    <w:p w14:paraId="202F480B" w14:textId="77777777" w:rsidR="0007113A" w:rsidRPr="0007113A" w:rsidRDefault="0007113A" w:rsidP="0007113A">
      <w:pPr>
        <w:spacing w:after="0" w:line="240" w:lineRule="auto"/>
        <w:ind w:left="0"/>
        <w:rPr>
          <w:sz w:val="22"/>
        </w:rPr>
      </w:pPr>
      <w:r w:rsidRPr="0007113A">
        <w:rPr>
          <w:sz w:val="22"/>
        </w:rPr>
        <w:t>El plazo de amortización que se establezca en los contratos de apertura de crédito simple que al efecto se suscriban, no podrá ser menor o igual a doce meses.</w:t>
      </w:r>
    </w:p>
    <w:p w14:paraId="50EB8AD6" w14:textId="77777777" w:rsidR="0007113A" w:rsidRPr="0007113A" w:rsidRDefault="0007113A" w:rsidP="0007113A">
      <w:pPr>
        <w:spacing w:after="0" w:line="240" w:lineRule="auto"/>
        <w:ind w:left="0"/>
        <w:rPr>
          <w:sz w:val="22"/>
        </w:rPr>
      </w:pPr>
    </w:p>
    <w:p w14:paraId="773A2076" w14:textId="77777777" w:rsidR="0007113A" w:rsidRPr="0007113A" w:rsidRDefault="0007113A" w:rsidP="0007113A">
      <w:pPr>
        <w:spacing w:after="0" w:line="240" w:lineRule="auto"/>
        <w:ind w:left="0"/>
        <w:rPr>
          <w:sz w:val="22"/>
        </w:rPr>
      </w:pPr>
      <w:r w:rsidRPr="0007113A">
        <w:rPr>
          <w:sz w:val="22"/>
        </w:rPr>
        <w:t>Sin perjuicio de lo anterior, los contratos mediante los cuales se formalicen los financiamientos estarán vigentes mientras existan obligaciones pendientes de pago a favor de los acreedores derivadas de los financiamientos.</w:t>
      </w:r>
    </w:p>
    <w:p w14:paraId="0BFC3E37" w14:textId="77777777" w:rsidR="0007113A" w:rsidRPr="0007113A" w:rsidRDefault="0007113A" w:rsidP="0007113A">
      <w:pPr>
        <w:tabs>
          <w:tab w:val="right" w:pos="8498"/>
        </w:tabs>
        <w:spacing w:after="0" w:line="240" w:lineRule="auto"/>
        <w:ind w:left="0"/>
        <w:rPr>
          <w:b/>
          <w:sz w:val="22"/>
        </w:rPr>
      </w:pPr>
    </w:p>
    <w:p w14:paraId="66EB7475" w14:textId="77777777" w:rsidR="0007113A" w:rsidRPr="0007113A" w:rsidRDefault="0007113A" w:rsidP="0007113A">
      <w:pPr>
        <w:tabs>
          <w:tab w:val="right" w:pos="8498"/>
        </w:tabs>
        <w:spacing w:after="0" w:line="240" w:lineRule="auto"/>
        <w:ind w:left="0"/>
        <w:rPr>
          <w:b/>
          <w:sz w:val="22"/>
        </w:rPr>
      </w:pPr>
      <w:r w:rsidRPr="0007113A">
        <w:rPr>
          <w:b/>
          <w:sz w:val="22"/>
        </w:rPr>
        <w:t>Artículo 7. Suscripción de los instrumentos jurídicos</w:t>
      </w:r>
    </w:p>
    <w:p w14:paraId="71DF9A59" w14:textId="77777777" w:rsidR="0007113A" w:rsidRPr="0007113A" w:rsidRDefault="0007113A" w:rsidP="0007113A">
      <w:pPr>
        <w:tabs>
          <w:tab w:val="right" w:pos="8498"/>
        </w:tabs>
        <w:spacing w:after="0" w:line="240" w:lineRule="auto"/>
        <w:ind w:left="0"/>
        <w:rPr>
          <w:sz w:val="22"/>
        </w:rPr>
      </w:pPr>
    </w:p>
    <w:p w14:paraId="2A312D1D" w14:textId="77777777" w:rsidR="0007113A" w:rsidRPr="0007113A" w:rsidRDefault="0007113A" w:rsidP="0007113A">
      <w:pPr>
        <w:pBdr>
          <w:top w:val="nil"/>
          <w:left w:val="nil"/>
          <w:bottom w:val="nil"/>
          <w:right w:val="nil"/>
          <w:between w:val="nil"/>
        </w:pBdr>
        <w:spacing w:after="0" w:line="240" w:lineRule="auto"/>
        <w:ind w:left="0"/>
        <w:rPr>
          <w:sz w:val="22"/>
        </w:rPr>
      </w:pPr>
      <w:r w:rsidRPr="0007113A">
        <w:rPr>
          <w:sz w:val="22"/>
        </w:rPr>
        <w:t>Se autoriza a los municipios enlistados en el artículo 1, a través del presidente municipal, síndico municipal, secretario municipal y tesorero municipal, como funcionarios legalmente facultados del Ayuntamiento, sin detrimento de las atribuciones que les son propias, a que realicen todas las gestiones, negociaciones, solicitudes y trámites necesarios para que celebren los contratos, convenios o cualquier instrumento legal que se requiera con objeto de formalizar los créditos o financiamientos que decidan individualmente contratar con base en el presente decreto, así como para constituir, modificar o adherirse, según corresponda al mecanismo de pago del o los créditos o financiamientos que contraten, y para que suscriban todos los actos jurídicos necesarios o convenientes para cumplir con las disposiciones del presente decreto o con lo pactado en los contratos que con base en este se celebren, como son, de manera enunciativa pero no limitativa, realizar notificaciones o instrucciones irrevocables, presentar avisos o información, modificar instrucciones anteriores, solicitar inscripciones en registros de deuda o fiduciarios, entre otras.</w:t>
      </w:r>
    </w:p>
    <w:p w14:paraId="3B9C70DA" w14:textId="77777777" w:rsidR="0007113A" w:rsidRPr="0007113A" w:rsidRDefault="0007113A" w:rsidP="0007113A">
      <w:pPr>
        <w:spacing w:after="0" w:line="240" w:lineRule="auto"/>
        <w:ind w:left="0"/>
        <w:rPr>
          <w:b/>
          <w:sz w:val="22"/>
        </w:rPr>
      </w:pPr>
    </w:p>
    <w:p w14:paraId="7BA22153" w14:textId="77777777" w:rsidR="0007113A" w:rsidRPr="0007113A" w:rsidRDefault="0007113A" w:rsidP="0007113A">
      <w:pPr>
        <w:spacing w:after="0" w:line="240" w:lineRule="auto"/>
        <w:ind w:left="0"/>
        <w:rPr>
          <w:b/>
          <w:sz w:val="22"/>
        </w:rPr>
      </w:pPr>
      <w:r w:rsidRPr="0007113A">
        <w:rPr>
          <w:b/>
          <w:sz w:val="22"/>
        </w:rPr>
        <w:t>Artículo 8. Afectación de aportaciones</w:t>
      </w:r>
    </w:p>
    <w:p w14:paraId="15E56DF5" w14:textId="77777777" w:rsidR="0007113A" w:rsidRPr="0007113A" w:rsidRDefault="0007113A" w:rsidP="0007113A">
      <w:pPr>
        <w:spacing w:after="0" w:line="240" w:lineRule="auto"/>
        <w:ind w:left="0"/>
        <w:rPr>
          <w:b/>
          <w:sz w:val="22"/>
        </w:rPr>
      </w:pPr>
    </w:p>
    <w:p w14:paraId="1DB80CC6" w14:textId="77777777" w:rsidR="0007113A" w:rsidRPr="0007113A" w:rsidRDefault="0007113A" w:rsidP="0007113A">
      <w:pPr>
        <w:spacing w:after="0" w:line="240" w:lineRule="auto"/>
        <w:ind w:left="0"/>
        <w:rPr>
          <w:sz w:val="22"/>
        </w:rPr>
      </w:pPr>
      <w:r w:rsidRPr="0007113A">
        <w:rPr>
          <w:sz w:val="22"/>
        </w:rPr>
        <w:t xml:space="preserve">Se autoriza a los municipios referidos en el artículo 1, a través del presidente municipal, síndico municipal, secretario municipal y tesorero municipal, como funcionarios legalmente facultados del Ayuntamiento, para que en términos de ley, individualmente afecten como fuente de pago del o los financiamientos que contraten y dispongan con base en el presente decreto, incluidos el pago de capital, comisiones, intereses y accesorios y cualquier otro concepto relacionado con el o los financiamientos de que se trate, hasta el 25% del derecho a recibir y los ingresos que anual e individualmente les correspondan del Fondo de Aportaciones para la Infraestructura Social Municipal y de las Demarcaciones Territoriales del Distrito Federal,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 o de cualquier otro fondo que los sustituya o complemente de tiempo en tiempo, respectivamente y conforme al marco jurídico vigente, en la inteligencia de que, en tanto se encuentren vigentes el o los financiamientos contratados o existan obligaciones o cantidades pendientes de pago, los municipios referidos podrán destinar para el pago del servicio de la deuda a su cargo, la cantidad que resulte mayor entre aplicar el 25% (veinticinco por ciento) a los ingresos del Fondo de Aportaciones para la Infraestructura Social Municipal y de las Demarcaciones Territoriales del Distrito Federal que les corresponda recibir en el ejercicio fiscal que se encuentre transcurriendo, o bien, en el año en que el financiamiento de que se trate hubiere sido contratado, en términos de lo que dispone el artículo 50 de la Ley de Coordinación Fiscal, la fracción VIII </w:t>
      </w:r>
      <w:proofErr w:type="spellStart"/>
      <w:r w:rsidRPr="0007113A">
        <w:rPr>
          <w:sz w:val="22"/>
        </w:rPr>
        <w:t>Quáter</w:t>
      </w:r>
      <w:proofErr w:type="spellEnd"/>
      <w:r w:rsidRPr="0007113A">
        <w:rPr>
          <w:sz w:val="22"/>
        </w:rPr>
        <w:t xml:space="preserve"> del artículo 30 de la Constitución Política del Estado Libre y Soberano de Yucatán, así como el artículo 9 Ter de la Ley de Coordinación Fiscal del Estado de Yucatán.</w:t>
      </w:r>
    </w:p>
    <w:p w14:paraId="38CEC752" w14:textId="77777777" w:rsidR="0007113A" w:rsidRPr="0007113A" w:rsidRDefault="0007113A" w:rsidP="0007113A">
      <w:pPr>
        <w:spacing w:after="0" w:line="240" w:lineRule="auto"/>
        <w:ind w:left="0"/>
        <w:rPr>
          <w:sz w:val="22"/>
        </w:rPr>
      </w:pPr>
    </w:p>
    <w:p w14:paraId="6FC161E3" w14:textId="77777777" w:rsidR="0007113A" w:rsidRPr="0007113A" w:rsidRDefault="0007113A" w:rsidP="0007113A">
      <w:pPr>
        <w:spacing w:after="0" w:line="240" w:lineRule="auto"/>
        <w:ind w:left="0"/>
        <w:rPr>
          <w:sz w:val="22"/>
        </w:rPr>
      </w:pPr>
      <w:r w:rsidRPr="0007113A">
        <w:rPr>
          <w:sz w:val="22"/>
        </w:rPr>
        <w:t>Dicha afectación deberá hacerse con apego a lo establecido en el presente decreto, la Ley de Deuda Pública del Estado de Yucatán, la Ley de Coordinación Fiscal y la demás legislación y normativa aplicables.</w:t>
      </w:r>
    </w:p>
    <w:p w14:paraId="68D53E25" w14:textId="77777777" w:rsidR="0007113A" w:rsidRPr="0007113A" w:rsidRDefault="0007113A" w:rsidP="0007113A">
      <w:pPr>
        <w:spacing w:after="0" w:line="240" w:lineRule="auto"/>
        <w:ind w:left="0"/>
        <w:rPr>
          <w:sz w:val="22"/>
        </w:rPr>
      </w:pPr>
    </w:p>
    <w:p w14:paraId="57BDF4DF" w14:textId="77777777" w:rsidR="0007113A" w:rsidRPr="0007113A" w:rsidRDefault="0007113A" w:rsidP="0007113A">
      <w:pPr>
        <w:spacing w:after="0" w:line="240" w:lineRule="auto"/>
        <w:ind w:left="0"/>
        <w:rPr>
          <w:sz w:val="22"/>
        </w:rPr>
      </w:pPr>
      <w:r w:rsidRPr="0007113A">
        <w:rPr>
          <w:sz w:val="22"/>
        </w:rPr>
        <w:t xml:space="preserve">La afectación de los ingresos y derechos a recibir y los ingresos que anual e individualmente les correspondan a cada uno de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derivados del Fondo de Aportaciones para la Infraestructura Social Municipal y de las Demarcaciones Territoriales del Distrito Federal a que se refiere este artículo, podrá formalizarse mediante la constitución de uno o varios fideicomisos irrevocables de administración y fuente de pago; o los convenios necesarios para adherirse a un fideicomiso irrevocable de administración y fuente de pago previamente constituido, o bien, a través de uno o varios contratos de mandato especial irrevocable para actos de dominio que celebren cada uno de los municipios como mandante, con la Secretaría de Administración y Finanzas del Poder Ejecutivo del Estado de Yucatán como mandatario.</w:t>
      </w:r>
    </w:p>
    <w:p w14:paraId="2D67EA47" w14:textId="77777777" w:rsidR="0007113A" w:rsidRPr="0007113A" w:rsidRDefault="0007113A" w:rsidP="0007113A">
      <w:pPr>
        <w:spacing w:after="0" w:line="240" w:lineRule="auto"/>
        <w:ind w:left="0"/>
        <w:rPr>
          <w:sz w:val="22"/>
        </w:rPr>
      </w:pPr>
    </w:p>
    <w:p w14:paraId="0693626A" w14:textId="77777777" w:rsidR="0007113A" w:rsidRPr="0007113A" w:rsidRDefault="0007113A" w:rsidP="0007113A">
      <w:pPr>
        <w:spacing w:after="0" w:line="240" w:lineRule="auto"/>
        <w:ind w:left="0"/>
        <w:rPr>
          <w:sz w:val="22"/>
        </w:rPr>
      </w:pPr>
      <w:r w:rsidRPr="0007113A">
        <w:rPr>
          <w:sz w:val="22"/>
        </w:rPr>
        <w:t>En todo caso, el o los fideicomisos constituidos al amparo de la presente autorización no serán considerados entidad paraestatal, por lo que no constituirán parte de la Administración Pública paraestatal. Lo anterior, conforme a lo establecido en el artículo 7, fracción VI, de la Ley de Deuda Pública del Estado de Yucatán.</w:t>
      </w:r>
    </w:p>
    <w:p w14:paraId="5F332DF5" w14:textId="77777777" w:rsidR="0007113A" w:rsidRPr="0007113A" w:rsidRDefault="0007113A" w:rsidP="0007113A">
      <w:pPr>
        <w:spacing w:after="0" w:line="240" w:lineRule="auto"/>
        <w:ind w:left="0"/>
        <w:rPr>
          <w:b/>
          <w:sz w:val="22"/>
        </w:rPr>
      </w:pPr>
    </w:p>
    <w:p w14:paraId="49770BB6" w14:textId="77777777" w:rsidR="0007113A" w:rsidRPr="0007113A" w:rsidRDefault="0007113A" w:rsidP="0007113A">
      <w:pPr>
        <w:spacing w:after="0" w:line="240" w:lineRule="auto"/>
        <w:ind w:left="0"/>
        <w:rPr>
          <w:b/>
          <w:sz w:val="22"/>
        </w:rPr>
      </w:pPr>
      <w:r w:rsidRPr="0007113A">
        <w:rPr>
          <w:b/>
          <w:sz w:val="22"/>
        </w:rPr>
        <w:t>Artículo 9. Fideicomiso</w:t>
      </w:r>
    </w:p>
    <w:p w14:paraId="77091AAF" w14:textId="77777777" w:rsidR="0007113A" w:rsidRPr="0007113A" w:rsidRDefault="0007113A" w:rsidP="0007113A">
      <w:pPr>
        <w:spacing w:after="0" w:line="240" w:lineRule="auto"/>
        <w:ind w:left="0"/>
        <w:rPr>
          <w:b/>
          <w:sz w:val="22"/>
        </w:rPr>
      </w:pPr>
    </w:p>
    <w:p w14:paraId="3351960C" w14:textId="77777777" w:rsidR="0007113A" w:rsidRPr="0007113A" w:rsidRDefault="0007113A" w:rsidP="0007113A">
      <w:pPr>
        <w:tabs>
          <w:tab w:val="left" w:pos="8460"/>
        </w:tabs>
        <w:spacing w:after="0" w:line="240" w:lineRule="auto"/>
        <w:ind w:left="0"/>
        <w:rPr>
          <w:sz w:val="22"/>
        </w:rPr>
      </w:pPr>
      <w:r w:rsidRPr="0007113A">
        <w:rPr>
          <w:sz w:val="22"/>
        </w:rPr>
        <w:t xml:space="preserve">El mecanismo de pago de las obligaciones que adquieran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podrá formalizarse mediante la constitución de un fideicomiso irrevocable de administración y fuente de pago.</w:t>
      </w:r>
    </w:p>
    <w:p w14:paraId="5BF6288B" w14:textId="77777777" w:rsidR="0007113A" w:rsidRPr="0007113A" w:rsidRDefault="0007113A" w:rsidP="0007113A">
      <w:pPr>
        <w:spacing w:after="0" w:line="240" w:lineRule="auto"/>
        <w:ind w:left="0"/>
        <w:rPr>
          <w:sz w:val="22"/>
        </w:rPr>
      </w:pPr>
    </w:p>
    <w:p w14:paraId="0D7E42B4" w14:textId="77777777" w:rsidR="0007113A" w:rsidRPr="0007113A" w:rsidRDefault="0007113A" w:rsidP="0007113A">
      <w:pPr>
        <w:spacing w:after="0" w:line="240" w:lineRule="auto"/>
        <w:ind w:left="0"/>
        <w:rPr>
          <w:sz w:val="22"/>
        </w:rPr>
      </w:pPr>
      <w:r w:rsidRPr="0007113A">
        <w:rPr>
          <w:sz w:val="22"/>
        </w:rPr>
        <w:t>En cualquier caso, el fideicomiso que se constituya, tendrá entre sus fines, al menos:</w:t>
      </w:r>
    </w:p>
    <w:p w14:paraId="3FD19D93" w14:textId="77777777" w:rsidR="0007113A" w:rsidRPr="0007113A" w:rsidRDefault="0007113A" w:rsidP="0007113A">
      <w:pPr>
        <w:spacing w:after="0" w:line="240" w:lineRule="auto"/>
        <w:ind w:left="0" w:firstLine="709"/>
        <w:rPr>
          <w:sz w:val="22"/>
        </w:rPr>
      </w:pPr>
    </w:p>
    <w:p w14:paraId="6796F45B" w14:textId="77777777" w:rsidR="0007113A" w:rsidRPr="0007113A" w:rsidRDefault="0007113A" w:rsidP="0007113A">
      <w:pPr>
        <w:spacing w:after="0" w:line="240" w:lineRule="auto"/>
        <w:ind w:left="0" w:firstLine="709"/>
        <w:rPr>
          <w:sz w:val="22"/>
        </w:rPr>
      </w:pPr>
      <w:r w:rsidRPr="0007113A">
        <w:rPr>
          <w:sz w:val="22"/>
        </w:rPr>
        <w:t>I. Captar la totalidad de los recursos provenientes del Fondo de Aportaciones para la Infraestructura Social Municipal y de las Demarcaciones Territoriales del Distrito Federal, según le correspondan a los municipios referidos en el artículo 1 y que periódicamente le sean trasferidos por la Secretaría de Hacienda y Crédito Público, a través de la Tesorería de la Federación, o el área o unidad administrativa facultada para tal efecto.</w:t>
      </w:r>
    </w:p>
    <w:p w14:paraId="25292CBD" w14:textId="77777777" w:rsidR="0007113A" w:rsidRPr="0007113A" w:rsidRDefault="0007113A" w:rsidP="0007113A">
      <w:pPr>
        <w:spacing w:after="0" w:line="240" w:lineRule="auto"/>
        <w:ind w:left="0" w:firstLine="709"/>
        <w:rPr>
          <w:sz w:val="22"/>
        </w:rPr>
      </w:pPr>
    </w:p>
    <w:p w14:paraId="37A614CB" w14:textId="77777777" w:rsidR="0007113A" w:rsidRPr="0007113A" w:rsidRDefault="0007113A" w:rsidP="0007113A">
      <w:pPr>
        <w:spacing w:after="0" w:line="240" w:lineRule="auto"/>
        <w:ind w:left="0" w:firstLine="709"/>
        <w:rPr>
          <w:sz w:val="22"/>
        </w:rPr>
      </w:pPr>
      <w:r w:rsidRPr="0007113A">
        <w:rPr>
          <w:sz w:val="22"/>
        </w:rPr>
        <w:t xml:space="preserve">II. Servir como mecanismo de pago del o los financiamientos que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contraten con base en lo que se autoriza en este decreto. </w:t>
      </w:r>
    </w:p>
    <w:p w14:paraId="79788A2E" w14:textId="77777777" w:rsidR="0007113A" w:rsidRPr="0007113A" w:rsidRDefault="0007113A" w:rsidP="0007113A">
      <w:pPr>
        <w:spacing w:after="0" w:line="240" w:lineRule="auto"/>
        <w:ind w:left="0" w:firstLine="709"/>
        <w:rPr>
          <w:sz w:val="22"/>
        </w:rPr>
      </w:pPr>
    </w:p>
    <w:p w14:paraId="205A1022" w14:textId="77777777" w:rsidR="0007113A" w:rsidRPr="0007113A" w:rsidRDefault="0007113A" w:rsidP="0007113A">
      <w:pPr>
        <w:spacing w:after="0" w:line="240" w:lineRule="auto"/>
        <w:ind w:left="0" w:firstLine="709"/>
        <w:rPr>
          <w:sz w:val="22"/>
        </w:rPr>
      </w:pPr>
      <w:r w:rsidRPr="0007113A">
        <w:rPr>
          <w:sz w:val="22"/>
        </w:rPr>
        <w:t>III. Fungir como medio para facilitar la entrega a la Secretaría de Administración y Finanzas del Poder Ejecutivo del Estado de Yucatán de los recursos no afectados del Fondo de Aportaciones para la Infraestructura Social Municipal y de las Demarcaciones Territoriales del Distrito Federal, para que esta a su vez se los entregue dentro del plazo que establece la legislación aplicable o, en su defecto, les haga llegar las cantidades remanentes que, en su caso, existan a favor de los municipios referidos en el artículo 1 que decidan adherirse al fideicomiso.</w:t>
      </w:r>
    </w:p>
    <w:p w14:paraId="3A29A0EC" w14:textId="77777777" w:rsidR="0007113A" w:rsidRPr="0007113A" w:rsidRDefault="0007113A" w:rsidP="0007113A">
      <w:pPr>
        <w:tabs>
          <w:tab w:val="left" w:pos="8460"/>
        </w:tabs>
        <w:spacing w:after="0" w:line="240" w:lineRule="auto"/>
        <w:ind w:left="0"/>
        <w:rPr>
          <w:sz w:val="22"/>
        </w:rPr>
      </w:pPr>
    </w:p>
    <w:p w14:paraId="6A0F5CE4" w14:textId="77777777" w:rsidR="0007113A" w:rsidRPr="0007113A" w:rsidRDefault="0007113A" w:rsidP="0007113A">
      <w:pPr>
        <w:tabs>
          <w:tab w:val="left" w:pos="8460"/>
        </w:tabs>
        <w:spacing w:after="0" w:line="240" w:lineRule="auto"/>
        <w:ind w:left="0"/>
        <w:rPr>
          <w:sz w:val="22"/>
        </w:rPr>
      </w:pPr>
      <w:r w:rsidRPr="0007113A">
        <w:rPr>
          <w:sz w:val="22"/>
        </w:rPr>
        <w:t>El fideicomiso que se constituya en términos del presente artículo únicamente podrá modificarse o extinguirse con el consentimiento previo y por escrito de los fideicomisarios en primer lugar y tendrá el carácter de irrevocable en tanto existan obligaciones de pago vigentes inscritas en él.</w:t>
      </w:r>
    </w:p>
    <w:p w14:paraId="6A6B8AE4" w14:textId="77777777" w:rsidR="0007113A" w:rsidRPr="0007113A" w:rsidRDefault="0007113A" w:rsidP="0007113A">
      <w:pPr>
        <w:tabs>
          <w:tab w:val="left" w:pos="8460"/>
        </w:tabs>
        <w:spacing w:after="0" w:line="240" w:lineRule="auto"/>
        <w:ind w:left="0"/>
        <w:rPr>
          <w:sz w:val="22"/>
        </w:rPr>
      </w:pPr>
    </w:p>
    <w:p w14:paraId="3ABC3488" w14:textId="77777777" w:rsidR="0007113A" w:rsidRPr="0007113A" w:rsidRDefault="0007113A" w:rsidP="0007113A">
      <w:pPr>
        <w:tabs>
          <w:tab w:val="left" w:pos="8460"/>
        </w:tabs>
        <w:spacing w:after="0" w:line="240" w:lineRule="auto"/>
        <w:ind w:left="0"/>
        <w:rPr>
          <w:sz w:val="22"/>
        </w:rPr>
      </w:pPr>
      <w:r w:rsidRPr="0007113A">
        <w:rPr>
          <w:sz w:val="22"/>
        </w:rPr>
        <w:t>La afectación de los recursos del Fondo de Aportaciones para la Infraestructura Social Municipal y de las Demarcaciones Territoriales del Distrito Federal en el fideicomiso constituido como mecanismo de pago cesará previa conformidad por escrito del o los fideicomisarios en primer lugar, una vez que se encuentren liquidadas en su totalidad las obligaciones de pago a cargo de los municipios del estado de Yucatán referidos en el artículo 1, sin detrimento de que el fideicomiso pueda seguir funcionando u operando como mecanismo de captación y administración de los recursos que deriven del Fondo de Aportaciones para la Infraestructura Social.</w:t>
      </w:r>
    </w:p>
    <w:p w14:paraId="613807DE" w14:textId="77777777" w:rsidR="0007113A" w:rsidRPr="0007113A" w:rsidRDefault="0007113A" w:rsidP="0007113A">
      <w:pPr>
        <w:tabs>
          <w:tab w:val="left" w:pos="8460"/>
        </w:tabs>
        <w:spacing w:after="0" w:line="240" w:lineRule="auto"/>
        <w:ind w:left="0"/>
        <w:rPr>
          <w:sz w:val="22"/>
        </w:rPr>
      </w:pPr>
    </w:p>
    <w:p w14:paraId="3D92ADE9" w14:textId="77777777" w:rsidR="0007113A" w:rsidRPr="0007113A" w:rsidRDefault="0007113A" w:rsidP="0007113A">
      <w:pPr>
        <w:tabs>
          <w:tab w:val="left" w:pos="8460"/>
        </w:tabs>
        <w:spacing w:after="0" w:line="240" w:lineRule="auto"/>
        <w:ind w:left="0"/>
        <w:rPr>
          <w:sz w:val="22"/>
        </w:rPr>
      </w:pPr>
      <w:r w:rsidRPr="0007113A">
        <w:rPr>
          <w:sz w:val="22"/>
        </w:rPr>
        <w:t>Se autoriza a los municipios del estado de Yucatán enlistados en el artículo 1 para que, a través del presidente municipal, síndico municipal, secretario municipal y tesorero municipal, como funcionarios legalmente facultados del Ayuntamiento y previa autorización de sus respectivos cabildos, celebren, en lo individual, el o los convenios que se requieran para adherirse al fideicomiso irrevocable de administración y fuente de pago que, en su caso, se constituya para instrumentar el mecanismo de pago de los financiamientos que cada uno de ellos contrate con base en la presente autorización.</w:t>
      </w:r>
    </w:p>
    <w:p w14:paraId="3F268A74" w14:textId="77777777" w:rsidR="0007113A" w:rsidRPr="0007113A" w:rsidRDefault="0007113A" w:rsidP="0007113A">
      <w:pPr>
        <w:spacing w:after="0" w:line="240" w:lineRule="auto"/>
        <w:ind w:left="0"/>
        <w:rPr>
          <w:sz w:val="22"/>
        </w:rPr>
      </w:pPr>
    </w:p>
    <w:p w14:paraId="449A5091" w14:textId="77777777" w:rsidR="0007113A" w:rsidRPr="0007113A" w:rsidRDefault="0007113A" w:rsidP="0007113A">
      <w:pPr>
        <w:spacing w:after="0" w:line="240" w:lineRule="auto"/>
        <w:ind w:left="0"/>
        <w:rPr>
          <w:sz w:val="22"/>
        </w:rPr>
      </w:pPr>
      <w:r w:rsidRPr="0007113A">
        <w:rPr>
          <w:sz w:val="22"/>
        </w:rPr>
        <w:t xml:space="preserve">Los municipios del estado de Yucatán referidos en el artículo 1 deberán abstenerse de realizar cualquier acción tendiente a revertir la afectación de hasta el 25% del derecho a recibir y los ingresos que anual e individualmente les correspondan del Fondo de Aportaciones para la Infraestructura Social Municipal y de las Demarcaciones Territoriales del Distrito Federal que otorguen como fuente de pago del o los financiamientos que contraten con base en la presente autorización, en tanto existan adeudos a sus respectivos cargos que deriven del o los financiamientos; en tal virtud, la revocación de la afectación únicamente procederá cuando se cuente con autorización previa y por escrito emitida por representante legalmente facultado de la institución </w:t>
      </w:r>
      <w:proofErr w:type="spellStart"/>
      <w:r w:rsidRPr="0007113A">
        <w:rPr>
          <w:sz w:val="22"/>
        </w:rPr>
        <w:t>acreditante</w:t>
      </w:r>
      <w:proofErr w:type="spellEnd"/>
      <w:r w:rsidRPr="0007113A">
        <w:rPr>
          <w:sz w:val="22"/>
        </w:rPr>
        <w:t>.</w:t>
      </w:r>
    </w:p>
    <w:p w14:paraId="6F11AF01" w14:textId="77777777" w:rsidR="0007113A" w:rsidRPr="0007113A" w:rsidRDefault="0007113A" w:rsidP="0007113A">
      <w:pPr>
        <w:tabs>
          <w:tab w:val="right" w:pos="8498"/>
        </w:tabs>
        <w:spacing w:after="0" w:line="240" w:lineRule="auto"/>
        <w:ind w:left="0"/>
        <w:rPr>
          <w:b/>
          <w:sz w:val="22"/>
        </w:rPr>
      </w:pPr>
    </w:p>
    <w:p w14:paraId="14739B86" w14:textId="77777777" w:rsidR="0007113A" w:rsidRPr="0007113A" w:rsidRDefault="0007113A" w:rsidP="0007113A">
      <w:pPr>
        <w:tabs>
          <w:tab w:val="right" w:pos="8498"/>
        </w:tabs>
        <w:spacing w:after="0" w:line="240" w:lineRule="auto"/>
        <w:ind w:left="0"/>
        <w:rPr>
          <w:b/>
          <w:sz w:val="22"/>
        </w:rPr>
      </w:pPr>
      <w:r w:rsidRPr="0007113A">
        <w:rPr>
          <w:b/>
          <w:sz w:val="22"/>
        </w:rPr>
        <w:t>Artículo 10. Notificación a la Secretaría de Hacienda y Crédito Público</w:t>
      </w:r>
    </w:p>
    <w:p w14:paraId="3222155C" w14:textId="77777777" w:rsidR="0007113A" w:rsidRPr="0007113A" w:rsidRDefault="0007113A" w:rsidP="0007113A">
      <w:pPr>
        <w:tabs>
          <w:tab w:val="right" w:pos="8498"/>
        </w:tabs>
        <w:spacing w:after="0" w:line="240" w:lineRule="auto"/>
        <w:ind w:left="0"/>
        <w:rPr>
          <w:b/>
          <w:sz w:val="22"/>
        </w:rPr>
      </w:pPr>
    </w:p>
    <w:p w14:paraId="609A2E4E" w14:textId="77777777" w:rsidR="0007113A" w:rsidRPr="0007113A" w:rsidRDefault="0007113A" w:rsidP="0007113A">
      <w:pPr>
        <w:tabs>
          <w:tab w:val="left" w:pos="8460"/>
        </w:tabs>
        <w:spacing w:after="0" w:line="240" w:lineRule="auto"/>
        <w:ind w:left="0"/>
        <w:rPr>
          <w:sz w:val="22"/>
        </w:rPr>
      </w:pPr>
      <w:r w:rsidRPr="0007113A">
        <w:rPr>
          <w:sz w:val="22"/>
        </w:rPr>
        <w:t>Para asegurar la viabilidad de la estructura de los financiamientos cuyo mecanismo de pago sea a través de fideicomiso, de conformidad con lo establecido en la fracción IX del artículo 7 de la Ley de Deuda Pública del Estado de Yucatán, la Secretaría de Administración y Finanzas notificará a la Secretaría de Hacienda y Crédito Público, la afectación de aportaciones federales aprobada en este decreto, solicitando que respecto a cada ministración, entrega, anticipo, entero o ajuste de los recursos que procedan de las aportaciones del Fondo de Aportaciones para la Infraestructura Social Municipal y de las Demarcaciones Territoriales del Distrito Federal de los municipios que contraten financiamientos en términos de este decreto, se abonen en la cuenta del fideicomiso correspondiente hasta el pago total de los financiamientos contratados, de conformidad con este decreto, sin detrimento de que el fideicomiso constituido pueda seguir funcionando u operando como mecanismo de captación y administración de dichos recursos.</w:t>
      </w:r>
    </w:p>
    <w:p w14:paraId="15EF55E8" w14:textId="77777777" w:rsidR="0007113A" w:rsidRPr="0007113A" w:rsidRDefault="0007113A" w:rsidP="0007113A">
      <w:pPr>
        <w:tabs>
          <w:tab w:val="left" w:pos="8460"/>
        </w:tabs>
        <w:spacing w:after="0" w:line="240" w:lineRule="auto"/>
        <w:ind w:left="0"/>
        <w:rPr>
          <w:sz w:val="22"/>
        </w:rPr>
      </w:pPr>
    </w:p>
    <w:p w14:paraId="19BF6A85" w14:textId="77777777" w:rsidR="0007113A" w:rsidRPr="0007113A" w:rsidRDefault="0007113A" w:rsidP="0007113A">
      <w:pPr>
        <w:tabs>
          <w:tab w:val="left" w:pos="8460"/>
        </w:tabs>
        <w:spacing w:after="0" w:line="240" w:lineRule="auto"/>
        <w:ind w:left="0"/>
        <w:rPr>
          <w:sz w:val="22"/>
        </w:rPr>
      </w:pPr>
      <w:r w:rsidRPr="0007113A">
        <w:rPr>
          <w:sz w:val="22"/>
        </w:rPr>
        <w:t>Dicha instrucción solo podrá ser modificada, siempre y cuando se hayan cumplido los requisitos señalados en los instrumentos o actos jurídicos mediante los cuales se formalice la operación de financiamiento, incluido el mecanismo de pago, siempre que no se afecten los derechos de los acreedores conforme a dichos contratos o documentos.</w:t>
      </w:r>
    </w:p>
    <w:p w14:paraId="5F661D7F" w14:textId="77777777" w:rsidR="0007113A" w:rsidRPr="0007113A" w:rsidRDefault="0007113A" w:rsidP="0007113A">
      <w:pPr>
        <w:spacing w:after="0" w:line="240" w:lineRule="auto"/>
        <w:ind w:left="0"/>
        <w:rPr>
          <w:b/>
          <w:sz w:val="22"/>
        </w:rPr>
      </w:pPr>
    </w:p>
    <w:p w14:paraId="6B867F47" w14:textId="77777777" w:rsidR="0007113A" w:rsidRPr="0007113A" w:rsidRDefault="0007113A" w:rsidP="0007113A">
      <w:pPr>
        <w:spacing w:after="0" w:line="240" w:lineRule="auto"/>
        <w:ind w:left="0"/>
        <w:rPr>
          <w:b/>
          <w:sz w:val="22"/>
        </w:rPr>
      </w:pPr>
      <w:r w:rsidRPr="0007113A">
        <w:rPr>
          <w:b/>
          <w:sz w:val="22"/>
        </w:rPr>
        <w:t>Artículo 11. Contrato de mandato especial irrevocable para actos de dominio</w:t>
      </w:r>
    </w:p>
    <w:p w14:paraId="21CDC772" w14:textId="77777777" w:rsidR="0007113A" w:rsidRPr="0007113A" w:rsidRDefault="0007113A" w:rsidP="0007113A">
      <w:pPr>
        <w:spacing w:after="0" w:line="240" w:lineRule="auto"/>
        <w:ind w:left="0"/>
        <w:rPr>
          <w:b/>
          <w:sz w:val="22"/>
        </w:rPr>
      </w:pPr>
    </w:p>
    <w:p w14:paraId="6E69359B" w14:textId="77777777" w:rsidR="0007113A" w:rsidRPr="0007113A" w:rsidRDefault="0007113A" w:rsidP="0007113A">
      <w:pPr>
        <w:spacing w:after="0" w:line="240" w:lineRule="auto"/>
        <w:ind w:left="0"/>
        <w:rPr>
          <w:sz w:val="22"/>
        </w:rPr>
      </w:pPr>
      <w:r w:rsidRPr="0007113A">
        <w:rPr>
          <w:sz w:val="22"/>
        </w:rPr>
        <w:t xml:space="preserve">Se autoriza a los municipios del estado de Yucatán previstos en el artículo 1 para que, en su caso, a través del presidente municipal, síndico municipal, secretario municipal y tesorero municipal, como funcionarios legalmente facultados del Ayuntamiento, individualmente celebren un contrato de mandato especial irrevocable para actos de dominio, mediante el cual podrá formalizarse el mecanismo de pago de los financiamientos que individualmente contraten con sustento y en términos de lo que se autoriza en el presente decreto, que cumpla con las formalidades que la legislación aplicable establece para que se pacte con la Secretaría de Administración y Finanzas del Poder Ejecutivo del Estado de Yucatán, con el carácter de mandatario en nombre y por cuenta del municipio de que se trate y con cargo a los recursos que procedan del Fondo de Aportaciones para la Infraestructura Social Municipal y de las Demarcaciones Territoriales del Distrito Federal que afecte cada municipio como fuente de pago, pague directamente a la institución </w:t>
      </w:r>
      <w:proofErr w:type="spellStart"/>
      <w:r w:rsidRPr="0007113A">
        <w:rPr>
          <w:sz w:val="22"/>
        </w:rPr>
        <w:t>acreditante</w:t>
      </w:r>
      <w:proofErr w:type="spellEnd"/>
      <w:r w:rsidRPr="0007113A">
        <w:rPr>
          <w:sz w:val="22"/>
        </w:rPr>
        <w:t xml:space="preserve"> las obligaciones a cargo del municipio que corresponda, que deriven del o los financiamientos que contrate con base en lo que se autoriza en el presente decreto.</w:t>
      </w:r>
    </w:p>
    <w:p w14:paraId="553A694D" w14:textId="77777777" w:rsidR="0007113A" w:rsidRPr="0007113A" w:rsidRDefault="0007113A" w:rsidP="0007113A">
      <w:pPr>
        <w:spacing w:after="0" w:line="240" w:lineRule="auto"/>
        <w:ind w:left="0"/>
        <w:rPr>
          <w:b/>
          <w:sz w:val="22"/>
        </w:rPr>
      </w:pPr>
    </w:p>
    <w:p w14:paraId="3CE6A1B0" w14:textId="77777777" w:rsidR="0007113A" w:rsidRPr="0007113A" w:rsidRDefault="0007113A" w:rsidP="0007113A">
      <w:pPr>
        <w:spacing w:after="0" w:line="240" w:lineRule="auto"/>
        <w:ind w:left="0"/>
        <w:rPr>
          <w:b/>
          <w:sz w:val="22"/>
        </w:rPr>
      </w:pPr>
      <w:r w:rsidRPr="0007113A">
        <w:rPr>
          <w:b/>
          <w:sz w:val="22"/>
        </w:rPr>
        <w:t>Artículo 12. Aprobación del ingreso</w:t>
      </w:r>
    </w:p>
    <w:p w14:paraId="76D5BA4C" w14:textId="77777777" w:rsidR="0007113A" w:rsidRPr="0007113A" w:rsidRDefault="0007113A" w:rsidP="0007113A">
      <w:pPr>
        <w:spacing w:after="0" w:line="240" w:lineRule="auto"/>
        <w:ind w:left="0"/>
        <w:rPr>
          <w:b/>
          <w:sz w:val="22"/>
        </w:rPr>
      </w:pPr>
    </w:p>
    <w:p w14:paraId="0058DBE4" w14:textId="77777777" w:rsidR="0007113A" w:rsidRPr="0007113A" w:rsidRDefault="0007113A" w:rsidP="0007113A">
      <w:pPr>
        <w:spacing w:after="0" w:line="240" w:lineRule="auto"/>
        <w:ind w:left="0"/>
        <w:rPr>
          <w:sz w:val="22"/>
        </w:rPr>
      </w:pPr>
      <w:r w:rsidRPr="0007113A">
        <w:rPr>
          <w:sz w:val="22"/>
        </w:rPr>
        <w:t>Los municipios que, en ejercicio de la autorización establecida en el presente decreto contraten financiamiento hasta por el monto máximo previsto en el artículo 2, deberán aprobar la correspondiente modificación a su ley de ingresos para el ejercicio fiscal 2022 a efecto de prever el ingreso extraordinario por concepto de financiamiento y remitirla al Congreso del estado para su autorización.</w:t>
      </w:r>
    </w:p>
    <w:p w14:paraId="6BF86B0E" w14:textId="77777777" w:rsidR="0007113A" w:rsidRPr="0007113A" w:rsidRDefault="0007113A" w:rsidP="0007113A">
      <w:pPr>
        <w:spacing w:after="0" w:line="240" w:lineRule="auto"/>
        <w:ind w:left="0"/>
        <w:rPr>
          <w:sz w:val="22"/>
        </w:rPr>
      </w:pPr>
    </w:p>
    <w:p w14:paraId="342FDEE4" w14:textId="77777777" w:rsidR="0007113A" w:rsidRPr="0007113A" w:rsidRDefault="0007113A" w:rsidP="0007113A">
      <w:pPr>
        <w:spacing w:after="0" w:line="240" w:lineRule="auto"/>
        <w:ind w:left="0"/>
        <w:rPr>
          <w:sz w:val="22"/>
        </w:rPr>
      </w:pPr>
      <w:r w:rsidRPr="0007113A">
        <w:rPr>
          <w:sz w:val="22"/>
        </w:rPr>
        <w:t>Para aquellos municipios que decidan contratar el financiamiento en el ejercicio fiscal 2023, deberán prever el ingreso en la iniciativa que remitan al Congreso del estado para aprobación en los plazos previstos en la Constitución Política del Estado Libre y Soberano de Yucatán; no obstante, de no considerarse en la iniciativa original, podrán en todo momento, durante ese ejercicio fiscal, solicitar la modificación correspondiente a la ley de ingresos para el ejercicio fiscal 2023.</w:t>
      </w:r>
    </w:p>
    <w:p w14:paraId="2B869AC9" w14:textId="77777777" w:rsidR="0007113A" w:rsidRPr="0007113A" w:rsidRDefault="0007113A" w:rsidP="0007113A">
      <w:pPr>
        <w:spacing w:after="0" w:line="240" w:lineRule="auto"/>
        <w:ind w:left="0"/>
        <w:rPr>
          <w:b/>
          <w:sz w:val="22"/>
        </w:rPr>
      </w:pPr>
    </w:p>
    <w:p w14:paraId="65ECCF35" w14:textId="77777777" w:rsidR="0007113A" w:rsidRPr="0007113A" w:rsidRDefault="0007113A" w:rsidP="0007113A">
      <w:pPr>
        <w:spacing w:after="0" w:line="240" w:lineRule="auto"/>
        <w:ind w:left="0"/>
        <w:rPr>
          <w:b/>
          <w:sz w:val="22"/>
        </w:rPr>
      </w:pPr>
      <w:r w:rsidRPr="0007113A">
        <w:rPr>
          <w:b/>
          <w:sz w:val="22"/>
        </w:rPr>
        <w:t>Artículo 13. Previsiones presupuestarias</w:t>
      </w:r>
    </w:p>
    <w:p w14:paraId="48D61B51" w14:textId="77777777" w:rsidR="0007113A" w:rsidRPr="0007113A" w:rsidRDefault="0007113A" w:rsidP="0007113A">
      <w:pPr>
        <w:spacing w:after="0" w:line="240" w:lineRule="auto"/>
        <w:ind w:left="0"/>
        <w:rPr>
          <w:sz w:val="22"/>
        </w:rPr>
      </w:pPr>
    </w:p>
    <w:p w14:paraId="58E2BDF4" w14:textId="77777777" w:rsidR="0007113A" w:rsidRPr="0007113A" w:rsidRDefault="0007113A" w:rsidP="0007113A">
      <w:pPr>
        <w:spacing w:after="0" w:line="240" w:lineRule="auto"/>
        <w:ind w:left="0"/>
        <w:rPr>
          <w:sz w:val="22"/>
        </w:rPr>
      </w:pPr>
      <w:r w:rsidRPr="0007113A">
        <w:rPr>
          <w:sz w:val="22"/>
        </w:rPr>
        <w:t>Los municipios del estado de Yucatán que contraten uno o más financiamientos con base en este decreto, ajustarán o modificarán el presupuesto de egresos del ejercicio fiscal 2022 o 2023, según corresponda, para considerar el importe que permita realizar las erogaciones para el pago del servicio de la deuda a su respectivo cargo, que derive del o los créditos contratados, e informarán del ingreso y su aplicación al rendir la cuenta pública.</w:t>
      </w:r>
    </w:p>
    <w:p w14:paraId="0D9E1714" w14:textId="77777777" w:rsidR="0007113A" w:rsidRPr="0007113A" w:rsidRDefault="0007113A" w:rsidP="0007113A">
      <w:pPr>
        <w:spacing w:after="0" w:line="240" w:lineRule="auto"/>
        <w:ind w:left="0"/>
        <w:rPr>
          <w:sz w:val="22"/>
        </w:rPr>
      </w:pPr>
    </w:p>
    <w:p w14:paraId="04E82127" w14:textId="77777777" w:rsidR="0007113A" w:rsidRPr="0007113A" w:rsidRDefault="0007113A" w:rsidP="0007113A">
      <w:pPr>
        <w:spacing w:after="0" w:line="240" w:lineRule="auto"/>
        <w:ind w:left="0"/>
        <w:rPr>
          <w:sz w:val="22"/>
        </w:rPr>
      </w:pPr>
      <w:r w:rsidRPr="0007113A">
        <w:rPr>
          <w:sz w:val="22"/>
        </w:rPr>
        <w:t>Los municipios del estado de Yucatán, según corresponda, deberán prever anualmente en su presupuesto de egresos, en tanto existan obligaciones pendientes de pago a sus respectivos cargos que deriven del o los financiamientos que individualmente contraten con base en el presente decreto, el importe o partida que permita realizar las erogaciones para el pago del servicio de la deuda en cada ejercicio fiscal, hasta la total liquidación del o los créditos contratados.</w:t>
      </w:r>
    </w:p>
    <w:p w14:paraId="584C8233" w14:textId="77777777" w:rsidR="0007113A" w:rsidRPr="0007113A" w:rsidRDefault="0007113A" w:rsidP="0007113A">
      <w:pPr>
        <w:spacing w:after="0" w:line="240" w:lineRule="auto"/>
        <w:ind w:left="0"/>
        <w:rPr>
          <w:b/>
          <w:sz w:val="22"/>
        </w:rPr>
      </w:pPr>
    </w:p>
    <w:p w14:paraId="0A2BBEBD" w14:textId="77777777" w:rsidR="0007113A" w:rsidRPr="0007113A" w:rsidRDefault="0007113A" w:rsidP="0007113A">
      <w:pPr>
        <w:spacing w:after="0" w:line="240" w:lineRule="auto"/>
        <w:ind w:left="0"/>
        <w:rPr>
          <w:b/>
          <w:sz w:val="22"/>
        </w:rPr>
      </w:pPr>
      <w:r w:rsidRPr="0007113A">
        <w:rPr>
          <w:b/>
          <w:sz w:val="22"/>
        </w:rPr>
        <w:t>Artículo 14. Legislación y normativa</w:t>
      </w:r>
    </w:p>
    <w:p w14:paraId="4B4114D4" w14:textId="77777777" w:rsidR="0007113A" w:rsidRPr="0007113A" w:rsidRDefault="0007113A" w:rsidP="0007113A">
      <w:pPr>
        <w:spacing w:after="0" w:line="240" w:lineRule="auto"/>
        <w:ind w:left="0"/>
        <w:rPr>
          <w:sz w:val="22"/>
        </w:rPr>
      </w:pPr>
    </w:p>
    <w:p w14:paraId="1AC8DD63" w14:textId="77777777" w:rsidR="0007113A" w:rsidRPr="0007113A" w:rsidRDefault="0007113A" w:rsidP="0007113A">
      <w:pPr>
        <w:spacing w:after="0" w:line="240" w:lineRule="auto"/>
        <w:ind w:left="0"/>
        <w:rPr>
          <w:b/>
          <w:sz w:val="22"/>
          <w:u w:val="single"/>
        </w:rPr>
      </w:pPr>
      <w:r w:rsidRPr="0007113A">
        <w:rPr>
          <w:sz w:val="22"/>
        </w:rPr>
        <w:t xml:space="preserve">Con independencia de las obligaciones que por ley deben cumplir los municipios de </w:t>
      </w:r>
      <w:proofErr w:type="spellStart"/>
      <w:r w:rsidRPr="0007113A">
        <w:rPr>
          <w:sz w:val="22"/>
        </w:rPr>
        <w:t>Dzemul</w:t>
      </w:r>
      <w:proofErr w:type="spellEnd"/>
      <w:r w:rsidRPr="0007113A">
        <w:rPr>
          <w:sz w:val="22"/>
        </w:rPr>
        <w:t xml:space="preserve">, </w:t>
      </w:r>
      <w:proofErr w:type="spellStart"/>
      <w:r w:rsidRPr="0007113A">
        <w:rPr>
          <w:sz w:val="22"/>
        </w:rPr>
        <w:t>Hunucmá</w:t>
      </w:r>
      <w:proofErr w:type="spellEnd"/>
      <w:r w:rsidRPr="0007113A">
        <w:rPr>
          <w:sz w:val="22"/>
        </w:rPr>
        <w:t xml:space="preserve">, </w:t>
      </w:r>
      <w:proofErr w:type="spellStart"/>
      <w:r w:rsidRPr="0007113A">
        <w:rPr>
          <w:sz w:val="22"/>
        </w:rPr>
        <w:t>Temax</w:t>
      </w:r>
      <w:proofErr w:type="spellEnd"/>
      <w:r w:rsidRPr="0007113A">
        <w:rPr>
          <w:sz w:val="22"/>
        </w:rPr>
        <w:t xml:space="preserve">, Teya, </w:t>
      </w:r>
      <w:proofErr w:type="spellStart"/>
      <w:r w:rsidRPr="0007113A">
        <w:rPr>
          <w:sz w:val="22"/>
        </w:rPr>
        <w:t>Tizimín</w:t>
      </w:r>
      <w:proofErr w:type="spellEnd"/>
      <w:r w:rsidRPr="0007113A">
        <w:rPr>
          <w:sz w:val="22"/>
        </w:rPr>
        <w:t xml:space="preserve"> y </w:t>
      </w:r>
      <w:proofErr w:type="spellStart"/>
      <w:r w:rsidRPr="0007113A">
        <w:rPr>
          <w:sz w:val="22"/>
        </w:rPr>
        <w:t>Tzucacab</w:t>
      </w:r>
      <w:proofErr w:type="spellEnd"/>
      <w:r w:rsidRPr="0007113A">
        <w:rPr>
          <w:sz w:val="22"/>
        </w:rPr>
        <w:t xml:space="preserve"> para contratar y administrar su deuda pública, deberán observar en todo momento la legislación y normativa aplicable relativa a la planeación, programación, </w:t>
      </w:r>
      <w:proofErr w:type="spellStart"/>
      <w:r w:rsidRPr="0007113A">
        <w:rPr>
          <w:sz w:val="22"/>
        </w:rPr>
        <w:t>presupuestación</w:t>
      </w:r>
      <w:proofErr w:type="spellEnd"/>
      <w:r w:rsidRPr="0007113A">
        <w:rPr>
          <w:sz w:val="22"/>
        </w:rPr>
        <w:t>, seguimiento, vigilancia, uso y destino de los recursos provenientes del Fondo de Aportaciones para la Infraestructura Social Municipal y de las Demarcaciones Territoriales del Distrito Federal.</w:t>
      </w:r>
    </w:p>
    <w:p w14:paraId="26E1E6AC" w14:textId="77777777" w:rsidR="0007113A" w:rsidRPr="0007113A" w:rsidRDefault="0007113A" w:rsidP="0007113A">
      <w:pPr>
        <w:spacing w:after="0" w:line="240" w:lineRule="auto"/>
        <w:ind w:left="0"/>
        <w:rPr>
          <w:b/>
          <w:sz w:val="22"/>
          <w:u w:val="single"/>
        </w:rPr>
      </w:pPr>
    </w:p>
    <w:p w14:paraId="435B27CE" w14:textId="77777777" w:rsidR="0007113A" w:rsidRPr="0007113A" w:rsidRDefault="0007113A" w:rsidP="0007113A">
      <w:pPr>
        <w:spacing w:after="0" w:line="240" w:lineRule="auto"/>
        <w:ind w:left="0"/>
        <w:rPr>
          <w:b/>
          <w:sz w:val="22"/>
          <w:u w:val="single"/>
        </w:rPr>
      </w:pPr>
      <w:r w:rsidRPr="0007113A">
        <w:rPr>
          <w:rFonts w:eastAsia="Calibri"/>
          <w:b/>
          <w:w w:val="105"/>
          <w:sz w:val="22"/>
          <w:lang w:eastAsia="en-US"/>
        </w:rPr>
        <w:t xml:space="preserve">Artículo segundo. </w:t>
      </w:r>
      <w:r w:rsidRPr="0007113A">
        <w:rPr>
          <w:rFonts w:eastAsia="Calibri"/>
          <w:w w:val="105"/>
          <w:sz w:val="22"/>
          <w:lang w:eastAsia="en-US"/>
        </w:rPr>
        <w:t xml:space="preserve">Se reforma el artículo 12, en específico los montos de los rubros de “Ingresos derivados de financiamientos”, “Endeudamiento interno” y “Empréstitos o financiamientos”; así como el total de ingresos a percibir por el Municipio de </w:t>
      </w:r>
      <w:proofErr w:type="spellStart"/>
      <w:r w:rsidRPr="0007113A">
        <w:rPr>
          <w:rFonts w:eastAsia="Calibri"/>
          <w:w w:val="105"/>
          <w:sz w:val="22"/>
          <w:lang w:eastAsia="en-US"/>
        </w:rPr>
        <w:t>Dzemul</w:t>
      </w:r>
      <w:proofErr w:type="spellEnd"/>
      <w:r w:rsidRPr="0007113A">
        <w:rPr>
          <w:rFonts w:eastAsia="Calibri"/>
          <w:w w:val="105"/>
          <w:sz w:val="22"/>
          <w:lang w:eastAsia="en-US"/>
        </w:rPr>
        <w:t xml:space="preserve">, todos de la Ley de Ingresos del Municipio de </w:t>
      </w:r>
      <w:proofErr w:type="spellStart"/>
      <w:r w:rsidRPr="0007113A">
        <w:rPr>
          <w:rFonts w:eastAsia="Calibri"/>
          <w:w w:val="105"/>
          <w:sz w:val="22"/>
          <w:lang w:eastAsia="en-US"/>
        </w:rPr>
        <w:t>Dzemul</w:t>
      </w:r>
      <w:proofErr w:type="spellEnd"/>
      <w:r w:rsidRPr="0007113A">
        <w:rPr>
          <w:rFonts w:eastAsia="Calibri"/>
          <w:w w:val="105"/>
          <w:sz w:val="22"/>
          <w:lang w:eastAsia="en-US"/>
        </w:rPr>
        <w:t>, Yucatán, para el ejercicio fiscal 2022, para quedar como sigue:</w:t>
      </w:r>
    </w:p>
    <w:p w14:paraId="1B12E314" w14:textId="77777777" w:rsidR="0007113A" w:rsidRPr="0007113A" w:rsidRDefault="0007113A" w:rsidP="0007113A">
      <w:pPr>
        <w:pBdr>
          <w:top w:val="nil"/>
          <w:left w:val="nil"/>
          <w:bottom w:val="nil"/>
          <w:right w:val="nil"/>
          <w:between w:val="nil"/>
        </w:pBdr>
        <w:spacing w:after="0" w:line="240" w:lineRule="auto"/>
        <w:ind w:left="0"/>
        <w:rPr>
          <w:b/>
          <w:sz w:val="22"/>
        </w:rPr>
      </w:pPr>
    </w:p>
    <w:p w14:paraId="3E9E368E"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12.</w:t>
      </w:r>
      <w:proofErr w:type="gramStart"/>
      <w:r w:rsidRPr="0007113A">
        <w:rPr>
          <w:rFonts w:eastAsia="Calibri"/>
          <w:b/>
          <w:sz w:val="22"/>
          <w:lang w:eastAsia="en-US"/>
        </w:rPr>
        <w:t>-</w:t>
      </w:r>
      <w:r w:rsidRPr="0007113A">
        <w:rPr>
          <w:rFonts w:eastAsia="Calibri"/>
          <w:sz w:val="22"/>
          <w:lang w:eastAsia="en-US"/>
        </w:rPr>
        <w:t xml:space="preserve"> …</w:t>
      </w:r>
      <w:proofErr w:type="gramEnd"/>
    </w:p>
    <w:p w14:paraId="569FB994" w14:textId="77777777" w:rsidR="0007113A" w:rsidRPr="0007113A" w:rsidRDefault="0007113A" w:rsidP="0007113A">
      <w:pPr>
        <w:spacing w:after="0" w:line="240" w:lineRule="auto"/>
        <w:ind w:left="0"/>
        <w:rPr>
          <w:rFonts w:eastAsia="Calibri"/>
          <w:sz w:val="22"/>
          <w:lang w:eastAsia="en-US"/>
        </w:rPr>
      </w:pPr>
    </w:p>
    <w:tbl>
      <w:tblPr>
        <w:tblW w:w="6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239"/>
      </w:tblGrid>
      <w:tr w:rsidR="0007113A" w:rsidRPr="0007113A" w14:paraId="366FB0EA" w14:textId="77777777" w:rsidTr="001A240C">
        <w:trPr>
          <w:trHeight w:val="343"/>
          <w:jc w:val="center"/>
        </w:trPr>
        <w:tc>
          <w:tcPr>
            <w:tcW w:w="4618" w:type="dxa"/>
          </w:tcPr>
          <w:p w14:paraId="489F545B"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Ingresos derivados de financiamientos</w:t>
            </w:r>
          </w:p>
        </w:tc>
        <w:tc>
          <w:tcPr>
            <w:tcW w:w="2239" w:type="dxa"/>
          </w:tcPr>
          <w:p w14:paraId="23740EFC"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2’358,239.00</w:t>
            </w:r>
          </w:p>
        </w:tc>
      </w:tr>
      <w:tr w:rsidR="0007113A" w:rsidRPr="0007113A" w14:paraId="3C43BDD8" w14:textId="77777777" w:rsidTr="001A240C">
        <w:trPr>
          <w:trHeight w:val="345"/>
          <w:jc w:val="center"/>
        </w:trPr>
        <w:tc>
          <w:tcPr>
            <w:tcW w:w="4618" w:type="dxa"/>
          </w:tcPr>
          <w:p w14:paraId="75E2D2E7"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Endeudamiento interno</w:t>
            </w:r>
          </w:p>
        </w:tc>
        <w:tc>
          <w:tcPr>
            <w:tcW w:w="2239" w:type="dxa"/>
          </w:tcPr>
          <w:p w14:paraId="19C1D637"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2’358,239.00</w:t>
            </w:r>
          </w:p>
        </w:tc>
      </w:tr>
      <w:tr w:rsidR="0007113A" w:rsidRPr="0007113A" w14:paraId="773E37D0" w14:textId="77777777" w:rsidTr="001A240C">
        <w:trPr>
          <w:trHeight w:val="345"/>
          <w:jc w:val="center"/>
        </w:trPr>
        <w:tc>
          <w:tcPr>
            <w:tcW w:w="4618" w:type="dxa"/>
          </w:tcPr>
          <w:p w14:paraId="0DD6D459"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xml:space="preserve">Empréstitos o financiamientos </w:t>
            </w:r>
          </w:p>
        </w:tc>
        <w:tc>
          <w:tcPr>
            <w:tcW w:w="2239" w:type="dxa"/>
          </w:tcPr>
          <w:p w14:paraId="059D1BC0"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2’358,239.00</w:t>
            </w:r>
          </w:p>
        </w:tc>
      </w:tr>
    </w:tbl>
    <w:p w14:paraId="28F02711" w14:textId="77777777" w:rsidR="0007113A" w:rsidRPr="0007113A" w:rsidRDefault="0007113A" w:rsidP="0007113A">
      <w:pPr>
        <w:spacing w:after="0" w:line="240" w:lineRule="auto"/>
        <w:ind w:left="0"/>
        <w:rPr>
          <w:rFonts w:eastAsia="Calibri"/>
          <w:sz w:val="22"/>
          <w:lang w:eastAsia="en-US"/>
        </w:rPr>
      </w:pPr>
    </w:p>
    <w:p w14:paraId="20177E6F" w14:textId="77777777" w:rsidR="0007113A" w:rsidRPr="0007113A" w:rsidRDefault="0007113A" w:rsidP="0007113A">
      <w:pPr>
        <w:spacing w:after="0" w:line="240" w:lineRule="auto"/>
        <w:ind w:left="0" w:firstLine="708"/>
        <w:rPr>
          <w:rFonts w:eastAsia="Calibri"/>
          <w:sz w:val="22"/>
          <w:lang w:eastAsia="en-US"/>
        </w:rPr>
      </w:pPr>
      <w:r w:rsidRPr="0007113A">
        <w:rPr>
          <w:rFonts w:eastAsia="Calibri"/>
          <w:sz w:val="22"/>
          <w:lang w:eastAsia="en-US"/>
        </w:rPr>
        <w:t xml:space="preserve">El total de ingresos que el Ayuntamiento de </w:t>
      </w:r>
      <w:proofErr w:type="spellStart"/>
      <w:r w:rsidRPr="0007113A">
        <w:rPr>
          <w:rFonts w:eastAsia="Calibri"/>
          <w:sz w:val="22"/>
          <w:lang w:eastAsia="en-US"/>
        </w:rPr>
        <w:t>Dzemul</w:t>
      </w:r>
      <w:proofErr w:type="spellEnd"/>
      <w:r w:rsidRPr="0007113A">
        <w:rPr>
          <w:rFonts w:eastAsia="Calibri"/>
          <w:sz w:val="22"/>
          <w:lang w:eastAsia="en-US"/>
        </w:rPr>
        <w:t>, Yucatán, percibirá en el ejercicio fiscal 2022 ascenderá a: $ 36’429,013.00</w:t>
      </w:r>
    </w:p>
    <w:p w14:paraId="405A3833" w14:textId="77777777" w:rsidR="0007113A" w:rsidRPr="0007113A" w:rsidRDefault="0007113A" w:rsidP="0007113A">
      <w:pPr>
        <w:pBdr>
          <w:top w:val="nil"/>
          <w:left w:val="nil"/>
          <w:bottom w:val="nil"/>
          <w:right w:val="nil"/>
          <w:between w:val="nil"/>
        </w:pBdr>
        <w:spacing w:after="0" w:line="240" w:lineRule="auto"/>
        <w:ind w:left="0"/>
        <w:rPr>
          <w:sz w:val="22"/>
        </w:rPr>
      </w:pPr>
    </w:p>
    <w:p w14:paraId="602AC821" w14:textId="77777777" w:rsidR="0007113A" w:rsidRPr="0007113A" w:rsidRDefault="0007113A" w:rsidP="0007113A">
      <w:pPr>
        <w:spacing w:after="0" w:line="240" w:lineRule="auto"/>
        <w:ind w:left="0"/>
        <w:rPr>
          <w:rFonts w:eastAsia="Calibri"/>
          <w:w w:val="105"/>
          <w:sz w:val="22"/>
          <w:lang w:eastAsia="en-US"/>
        </w:rPr>
      </w:pPr>
      <w:r w:rsidRPr="0007113A">
        <w:rPr>
          <w:rFonts w:eastAsia="Calibri"/>
          <w:b/>
          <w:w w:val="105"/>
          <w:sz w:val="22"/>
          <w:lang w:eastAsia="en-US"/>
        </w:rPr>
        <w:t xml:space="preserve">Artículo tercero. </w:t>
      </w:r>
      <w:r w:rsidRPr="0007113A">
        <w:rPr>
          <w:rFonts w:eastAsia="Calibri"/>
          <w:w w:val="105"/>
          <w:sz w:val="22"/>
          <w:lang w:eastAsia="en-US"/>
        </w:rPr>
        <w:t xml:space="preserve">Se reforma el artículo 12, en específico los montos de los rubros de “Ingresos derivados de financiamiento”, “Endeudamiento interno” y “Empréstitos o financiamientos”; así como el total de ingresos a percibir por el Municipio de </w:t>
      </w:r>
      <w:proofErr w:type="spellStart"/>
      <w:r w:rsidRPr="0007113A">
        <w:rPr>
          <w:rFonts w:eastAsia="Calibri"/>
          <w:w w:val="105"/>
          <w:sz w:val="22"/>
          <w:lang w:eastAsia="en-US"/>
        </w:rPr>
        <w:t>Hunucmá</w:t>
      </w:r>
      <w:proofErr w:type="spellEnd"/>
      <w:r w:rsidRPr="0007113A">
        <w:rPr>
          <w:rFonts w:eastAsia="Calibri"/>
          <w:w w:val="105"/>
          <w:sz w:val="22"/>
          <w:lang w:eastAsia="en-US"/>
        </w:rPr>
        <w:t xml:space="preserve">, todos de la Ley de Ingresos del Municipio de </w:t>
      </w:r>
      <w:proofErr w:type="spellStart"/>
      <w:r w:rsidRPr="0007113A">
        <w:rPr>
          <w:rFonts w:eastAsia="Calibri"/>
          <w:w w:val="105"/>
          <w:sz w:val="22"/>
          <w:lang w:eastAsia="en-US"/>
        </w:rPr>
        <w:t>Hunucmá</w:t>
      </w:r>
      <w:proofErr w:type="spellEnd"/>
      <w:r w:rsidRPr="0007113A">
        <w:rPr>
          <w:rFonts w:eastAsia="Calibri"/>
          <w:w w:val="105"/>
          <w:sz w:val="22"/>
          <w:lang w:eastAsia="en-US"/>
        </w:rPr>
        <w:t>, Yucatán, para el ejercicio fiscal 2022, para quedar como sigue:</w:t>
      </w:r>
    </w:p>
    <w:p w14:paraId="644C7E64" w14:textId="77777777" w:rsidR="0007113A" w:rsidRPr="0007113A" w:rsidRDefault="0007113A" w:rsidP="0007113A">
      <w:pPr>
        <w:spacing w:after="0" w:line="240" w:lineRule="auto"/>
        <w:ind w:left="0"/>
        <w:rPr>
          <w:b/>
          <w:sz w:val="22"/>
        </w:rPr>
      </w:pPr>
    </w:p>
    <w:p w14:paraId="6599AB73" w14:textId="77777777" w:rsidR="0007113A" w:rsidRPr="0007113A" w:rsidRDefault="0007113A" w:rsidP="0007113A">
      <w:pPr>
        <w:spacing w:after="0" w:line="240" w:lineRule="auto"/>
        <w:ind w:left="0"/>
        <w:rPr>
          <w:sz w:val="22"/>
        </w:rPr>
      </w:pPr>
      <w:r w:rsidRPr="0007113A">
        <w:rPr>
          <w:b/>
          <w:sz w:val="22"/>
        </w:rPr>
        <w:t>Artículo 12.</w:t>
      </w:r>
      <w:proofErr w:type="gramStart"/>
      <w:r w:rsidRPr="0007113A">
        <w:rPr>
          <w:b/>
          <w:sz w:val="22"/>
        </w:rPr>
        <w:t>-</w:t>
      </w:r>
      <w:r w:rsidRPr="0007113A">
        <w:rPr>
          <w:sz w:val="22"/>
        </w:rPr>
        <w:t xml:space="preserve">  …</w:t>
      </w:r>
      <w:proofErr w:type="gramEnd"/>
    </w:p>
    <w:p w14:paraId="535354E9" w14:textId="77777777" w:rsidR="0007113A" w:rsidRPr="0007113A" w:rsidRDefault="0007113A" w:rsidP="0007113A">
      <w:pPr>
        <w:spacing w:after="0" w:line="240" w:lineRule="auto"/>
        <w:ind w:left="0"/>
        <w:rPr>
          <w:sz w:val="22"/>
        </w:rPr>
      </w:pPr>
    </w:p>
    <w:tbl>
      <w:tblPr>
        <w:tblW w:w="7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522"/>
      </w:tblGrid>
      <w:tr w:rsidR="0007113A" w:rsidRPr="0007113A" w14:paraId="4B9DBA14" w14:textId="77777777" w:rsidTr="001A240C">
        <w:trPr>
          <w:trHeight w:val="343"/>
          <w:jc w:val="center"/>
        </w:trPr>
        <w:tc>
          <w:tcPr>
            <w:tcW w:w="4618" w:type="dxa"/>
          </w:tcPr>
          <w:p w14:paraId="3EED4B55" w14:textId="77777777" w:rsidR="0007113A" w:rsidRPr="0007113A" w:rsidRDefault="0007113A" w:rsidP="0007113A">
            <w:pPr>
              <w:spacing w:after="0" w:line="240" w:lineRule="auto"/>
              <w:ind w:left="0"/>
              <w:rPr>
                <w:sz w:val="22"/>
              </w:rPr>
            </w:pPr>
            <w:r w:rsidRPr="0007113A">
              <w:rPr>
                <w:sz w:val="22"/>
              </w:rPr>
              <w:t>Ingresos derivados de financiamientos</w:t>
            </w:r>
          </w:p>
        </w:tc>
        <w:tc>
          <w:tcPr>
            <w:tcW w:w="2522" w:type="dxa"/>
          </w:tcPr>
          <w:p w14:paraId="306FC9CE" w14:textId="77777777" w:rsidR="0007113A" w:rsidRPr="0007113A" w:rsidRDefault="0007113A" w:rsidP="0007113A">
            <w:pPr>
              <w:spacing w:after="0" w:line="240" w:lineRule="auto"/>
              <w:ind w:left="0"/>
              <w:rPr>
                <w:sz w:val="22"/>
              </w:rPr>
            </w:pPr>
            <w:r w:rsidRPr="0007113A">
              <w:rPr>
                <w:sz w:val="22"/>
              </w:rPr>
              <w:t>$      17,676,219.00</w:t>
            </w:r>
          </w:p>
        </w:tc>
      </w:tr>
      <w:tr w:rsidR="0007113A" w:rsidRPr="0007113A" w14:paraId="5FB90E52" w14:textId="77777777" w:rsidTr="001A240C">
        <w:trPr>
          <w:trHeight w:val="345"/>
          <w:jc w:val="center"/>
        </w:trPr>
        <w:tc>
          <w:tcPr>
            <w:tcW w:w="4618" w:type="dxa"/>
          </w:tcPr>
          <w:p w14:paraId="7CF86DB9" w14:textId="77777777" w:rsidR="0007113A" w:rsidRPr="0007113A" w:rsidRDefault="0007113A" w:rsidP="0007113A">
            <w:pPr>
              <w:spacing w:after="0" w:line="240" w:lineRule="auto"/>
              <w:ind w:left="0"/>
              <w:rPr>
                <w:sz w:val="22"/>
              </w:rPr>
            </w:pPr>
            <w:r w:rsidRPr="0007113A">
              <w:rPr>
                <w:sz w:val="22"/>
              </w:rPr>
              <w:t>Endeudamiento interno</w:t>
            </w:r>
          </w:p>
        </w:tc>
        <w:tc>
          <w:tcPr>
            <w:tcW w:w="2522" w:type="dxa"/>
          </w:tcPr>
          <w:p w14:paraId="619657F4" w14:textId="77777777" w:rsidR="0007113A" w:rsidRPr="0007113A" w:rsidRDefault="0007113A" w:rsidP="0007113A">
            <w:pPr>
              <w:spacing w:after="0" w:line="240" w:lineRule="auto"/>
              <w:ind w:left="0"/>
              <w:rPr>
                <w:sz w:val="22"/>
              </w:rPr>
            </w:pPr>
            <w:r w:rsidRPr="0007113A">
              <w:rPr>
                <w:sz w:val="22"/>
              </w:rPr>
              <w:t>$      17,676,219.00</w:t>
            </w:r>
          </w:p>
        </w:tc>
      </w:tr>
      <w:tr w:rsidR="0007113A" w:rsidRPr="0007113A" w14:paraId="0EA066EF" w14:textId="77777777" w:rsidTr="001A240C">
        <w:trPr>
          <w:trHeight w:val="344"/>
          <w:jc w:val="center"/>
        </w:trPr>
        <w:tc>
          <w:tcPr>
            <w:tcW w:w="4618" w:type="dxa"/>
          </w:tcPr>
          <w:p w14:paraId="59674218" w14:textId="77777777" w:rsidR="0007113A" w:rsidRPr="0007113A" w:rsidRDefault="0007113A" w:rsidP="0007113A">
            <w:pPr>
              <w:spacing w:after="0" w:line="240" w:lineRule="auto"/>
              <w:ind w:left="0"/>
              <w:rPr>
                <w:sz w:val="22"/>
              </w:rPr>
            </w:pPr>
            <w:r w:rsidRPr="0007113A">
              <w:rPr>
                <w:sz w:val="22"/>
              </w:rPr>
              <w:t>Empréstitos o financiamientos</w:t>
            </w:r>
          </w:p>
        </w:tc>
        <w:tc>
          <w:tcPr>
            <w:tcW w:w="2522" w:type="dxa"/>
          </w:tcPr>
          <w:p w14:paraId="695F788B" w14:textId="77777777" w:rsidR="0007113A" w:rsidRPr="0007113A" w:rsidRDefault="0007113A" w:rsidP="0007113A">
            <w:pPr>
              <w:spacing w:after="0" w:line="240" w:lineRule="auto"/>
              <w:ind w:left="0"/>
              <w:rPr>
                <w:sz w:val="22"/>
              </w:rPr>
            </w:pPr>
            <w:r w:rsidRPr="0007113A">
              <w:rPr>
                <w:sz w:val="22"/>
              </w:rPr>
              <w:t xml:space="preserve">$      17,676,219.00   </w:t>
            </w:r>
          </w:p>
        </w:tc>
      </w:tr>
    </w:tbl>
    <w:p w14:paraId="3A998AA8" w14:textId="77777777" w:rsidR="0007113A" w:rsidRPr="0007113A" w:rsidRDefault="0007113A" w:rsidP="0007113A">
      <w:pPr>
        <w:spacing w:after="0" w:line="240" w:lineRule="auto"/>
        <w:ind w:left="0"/>
        <w:rPr>
          <w:sz w:val="22"/>
        </w:rPr>
      </w:pPr>
    </w:p>
    <w:p w14:paraId="2F6932D6" w14:textId="77777777" w:rsidR="0007113A" w:rsidRPr="0007113A" w:rsidRDefault="0007113A" w:rsidP="0007113A">
      <w:pPr>
        <w:spacing w:after="0" w:line="240" w:lineRule="auto"/>
        <w:ind w:left="0" w:firstLine="708"/>
        <w:rPr>
          <w:sz w:val="22"/>
        </w:rPr>
      </w:pPr>
      <w:r w:rsidRPr="0007113A">
        <w:rPr>
          <w:sz w:val="22"/>
        </w:rPr>
        <w:t xml:space="preserve">El total de ingresos que el Ayuntamiento de </w:t>
      </w:r>
      <w:proofErr w:type="spellStart"/>
      <w:r w:rsidRPr="0007113A">
        <w:rPr>
          <w:sz w:val="22"/>
        </w:rPr>
        <w:t>Hunucmá</w:t>
      </w:r>
      <w:proofErr w:type="spellEnd"/>
      <w:r w:rsidRPr="0007113A">
        <w:rPr>
          <w:sz w:val="22"/>
        </w:rPr>
        <w:t>, Yucatán, percibirá en el ejercicio fiscal 2022 ascenderá a: $ 171’540,709.35.</w:t>
      </w:r>
    </w:p>
    <w:p w14:paraId="71D0137B" w14:textId="77777777" w:rsidR="0007113A" w:rsidRPr="0007113A" w:rsidRDefault="0007113A" w:rsidP="0007113A">
      <w:pPr>
        <w:spacing w:after="0" w:line="240" w:lineRule="auto"/>
        <w:ind w:left="0"/>
        <w:rPr>
          <w:sz w:val="22"/>
        </w:rPr>
      </w:pPr>
    </w:p>
    <w:p w14:paraId="56884A6C" w14:textId="77777777" w:rsidR="0007113A" w:rsidRPr="0007113A" w:rsidRDefault="0007113A" w:rsidP="0007113A">
      <w:pPr>
        <w:spacing w:after="0" w:line="240" w:lineRule="auto"/>
        <w:ind w:left="0"/>
        <w:rPr>
          <w:rFonts w:eastAsia="Calibri"/>
          <w:w w:val="105"/>
          <w:sz w:val="22"/>
          <w:lang w:eastAsia="en-US"/>
        </w:rPr>
      </w:pPr>
      <w:r w:rsidRPr="0007113A">
        <w:rPr>
          <w:rFonts w:eastAsia="Calibri"/>
          <w:b/>
          <w:w w:val="105"/>
          <w:sz w:val="22"/>
          <w:lang w:eastAsia="en-US"/>
        </w:rPr>
        <w:t>Artículo cuarto.</w:t>
      </w:r>
      <w:r w:rsidRPr="0007113A">
        <w:rPr>
          <w:rFonts w:eastAsia="Calibri"/>
          <w:w w:val="105"/>
          <w:sz w:val="22"/>
          <w:lang w:eastAsia="en-US"/>
        </w:rPr>
        <w:t xml:space="preserve"> Se reforma el artículo 12, en específico los montos de los rubros de “Ingresos derivados de financiamiento” y “Endeudamiento interno”; así como el total de ingresos a percibir por el Municipio de </w:t>
      </w:r>
      <w:proofErr w:type="spellStart"/>
      <w:r w:rsidRPr="0007113A">
        <w:rPr>
          <w:rFonts w:eastAsia="Calibri"/>
          <w:w w:val="105"/>
          <w:sz w:val="22"/>
          <w:lang w:eastAsia="en-US"/>
        </w:rPr>
        <w:t>Temax</w:t>
      </w:r>
      <w:proofErr w:type="spellEnd"/>
      <w:r w:rsidRPr="0007113A">
        <w:rPr>
          <w:rFonts w:eastAsia="Calibri"/>
          <w:w w:val="105"/>
          <w:sz w:val="22"/>
          <w:lang w:eastAsia="en-US"/>
        </w:rPr>
        <w:t xml:space="preserve">, todos de la Ley de Ingresos del Municipio de </w:t>
      </w:r>
      <w:proofErr w:type="spellStart"/>
      <w:r w:rsidRPr="0007113A">
        <w:rPr>
          <w:rFonts w:eastAsia="Calibri"/>
          <w:w w:val="105"/>
          <w:sz w:val="22"/>
          <w:lang w:eastAsia="en-US"/>
        </w:rPr>
        <w:t>Temax</w:t>
      </w:r>
      <w:proofErr w:type="spellEnd"/>
      <w:r w:rsidRPr="0007113A">
        <w:rPr>
          <w:rFonts w:eastAsia="Calibri"/>
          <w:w w:val="105"/>
          <w:sz w:val="22"/>
          <w:lang w:eastAsia="en-US"/>
        </w:rPr>
        <w:t>, Yucatán, para el ejercicio fiscal 2022, para quedar como sigue:</w:t>
      </w:r>
    </w:p>
    <w:p w14:paraId="459BEB13" w14:textId="77777777" w:rsidR="0007113A" w:rsidRPr="0007113A" w:rsidRDefault="0007113A" w:rsidP="0007113A">
      <w:pPr>
        <w:spacing w:after="0" w:line="240" w:lineRule="auto"/>
        <w:ind w:left="0"/>
        <w:rPr>
          <w:b/>
          <w:sz w:val="22"/>
        </w:rPr>
      </w:pPr>
    </w:p>
    <w:p w14:paraId="09960994" w14:textId="77777777" w:rsidR="0007113A" w:rsidRPr="0007113A" w:rsidRDefault="0007113A" w:rsidP="0007113A">
      <w:pPr>
        <w:spacing w:after="0" w:line="240" w:lineRule="auto"/>
        <w:ind w:left="0"/>
        <w:rPr>
          <w:sz w:val="22"/>
        </w:rPr>
      </w:pPr>
      <w:r w:rsidRPr="0007113A">
        <w:rPr>
          <w:b/>
          <w:sz w:val="22"/>
        </w:rPr>
        <w:t>Artículo 12.</w:t>
      </w:r>
      <w:proofErr w:type="gramStart"/>
      <w:r w:rsidRPr="0007113A">
        <w:rPr>
          <w:b/>
          <w:sz w:val="22"/>
        </w:rPr>
        <w:t>-</w:t>
      </w:r>
      <w:r w:rsidRPr="0007113A">
        <w:rPr>
          <w:sz w:val="22"/>
        </w:rPr>
        <w:t xml:space="preserve"> …</w:t>
      </w:r>
      <w:proofErr w:type="gramEnd"/>
    </w:p>
    <w:p w14:paraId="5BFA25CA" w14:textId="77777777" w:rsidR="0007113A" w:rsidRPr="0007113A" w:rsidRDefault="0007113A" w:rsidP="0007113A">
      <w:pPr>
        <w:spacing w:after="0" w:line="240" w:lineRule="auto"/>
        <w:ind w:left="0"/>
        <w:rPr>
          <w:sz w:val="22"/>
        </w:rPr>
      </w:pPr>
    </w:p>
    <w:tbl>
      <w:tblPr>
        <w:tblW w:w="6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097"/>
      </w:tblGrid>
      <w:tr w:rsidR="0007113A" w:rsidRPr="0007113A" w14:paraId="69408998" w14:textId="77777777" w:rsidTr="001A240C">
        <w:trPr>
          <w:trHeight w:val="343"/>
          <w:jc w:val="center"/>
        </w:trPr>
        <w:tc>
          <w:tcPr>
            <w:tcW w:w="4618" w:type="dxa"/>
          </w:tcPr>
          <w:p w14:paraId="2688AAF9" w14:textId="77777777" w:rsidR="0007113A" w:rsidRPr="0007113A" w:rsidRDefault="0007113A" w:rsidP="0007113A">
            <w:pPr>
              <w:spacing w:after="0" w:line="240" w:lineRule="auto"/>
              <w:ind w:left="0"/>
              <w:rPr>
                <w:sz w:val="22"/>
              </w:rPr>
            </w:pPr>
            <w:r w:rsidRPr="0007113A">
              <w:rPr>
                <w:sz w:val="22"/>
              </w:rPr>
              <w:t>Ingresos derivados de financiamientos</w:t>
            </w:r>
          </w:p>
        </w:tc>
        <w:tc>
          <w:tcPr>
            <w:tcW w:w="2097" w:type="dxa"/>
          </w:tcPr>
          <w:p w14:paraId="6413DE35" w14:textId="77777777" w:rsidR="0007113A" w:rsidRPr="0007113A" w:rsidRDefault="0007113A" w:rsidP="0007113A">
            <w:pPr>
              <w:spacing w:after="0" w:line="240" w:lineRule="auto"/>
              <w:ind w:left="0"/>
              <w:rPr>
                <w:sz w:val="22"/>
              </w:rPr>
            </w:pPr>
            <w:r w:rsidRPr="0007113A">
              <w:rPr>
                <w:sz w:val="22"/>
              </w:rPr>
              <w:t>$      8’174,846.00</w:t>
            </w:r>
          </w:p>
        </w:tc>
      </w:tr>
      <w:tr w:rsidR="0007113A" w:rsidRPr="0007113A" w14:paraId="4A0CA360" w14:textId="77777777" w:rsidTr="001A240C">
        <w:trPr>
          <w:trHeight w:val="345"/>
          <w:jc w:val="center"/>
        </w:trPr>
        <w:tc>
          <w:tcPr>
            <w:tcW w:w="4618" w:type="dxa"/>
          </w:tcPr>
          <w:p w14:paraId="6BEB6D19" w14:textId="77777777" w:rsidR="0007113A" w:rsidRPr="0007113A" w:rsidRDefault="0007113A" w:rsidP="0007113A">
            <w:pPr>
              <w:spacing w:after="0" w:line="240" w:lineRule="auto"/>
              <w:ind w:left="0"/>
              <w:rPr>
                <w:sz w:val="22"/>
              </w:rPr>
            </w:pPr>
            <w:r w:rsidRPr="0007113A">
              <w:rPr>
                <w:sz w:val="22"/>
              </w:rPr>
              <w:t>Endeudamiento interno</w:t>
            </w:r>
          </w:p>
        </w:tc>
        <w:tc>
          <w:tcPr>
            <w:tcW w:w="2097" w:type="dxa"/>
          </w:tcPr>
          <w:p w14:paraId="41C552F7" w14:textId="77777777" w:rsidR="0007113A" w:rsidRPr="0007113A" w:rsidRDefault="0007113A" w:rsidP="0007113A">
            <w:pPr>
              <w:spacing w:after="0" w:line="240" w:lineRule="auto"/>
              <w:ind w:left="0"/>
              <w:rPr>
                <w:sz w:val="22"/>
              </w:rPr>
            </w:pPr>
            <w:r w:rsidRPr="0007113A">
              <w:rPr>
                <w:sz w:val="22"/>
              </w:rPr>
              <w:t xml:space="preserve">$     8’174,846.00 </w:t>
            </w:r>
          </w:p>
        </w:tc>
      </w:tr>
    </w:tbl>
    <w:p w14:paraId="61E464F4" w14:textId="77777777" w:rsidR="0007113A" w:rsidRPr="0007113A" w:rsidRDefault="0007113A" w:rsidP="0007113A">
      <w:pPr>
        <w:spacing w:after="0" w:line="240" w:lineRule="auto"/>
        <w:ind w:left="0"/>
        <w:rPr>
          <w:sz w:val="22"/>
        </w:rPr>
      </w:pPr>
    </w:p>
    <w:tbl>
      <w:tblPr>
        <w:tblStyle w:val="Tablaconcuadrcula2"/>
        <w:tblW w:w="0" w:type="auto"/>
        <w:jc w:val="center"/>
        <w:tblLayout w:type="fixed"/>
        <w:tblLook w:val="04A0" w:firstRow="1" w:lastRow="0" w:firstColumn="1" w:lastColumn="0" w:noHBand="0" w:noVBand="1"/>
      </w:tblPr>
      <w:tblGrid>
        <w:gridCol w:w="7083"/>
        <w:gridCol w:w="2028"/>
      </w:tblGrid>
      <w:tr w:rsidR="0007113A" w:rsidRPr="0007113A" w14:paraId="2985FCDB" w14:textId="77777777" w:rsidTr="001A240C">
        <w:trPr>
          <w:trHeight w:val="654"/>
          <w:jc w:val="center"/>
        </w:trPr>
        <w:tc>
          <w:tcPr>
            <w:tcW w:w="7083" w:type="dxa"/>
          </w:tcPr>
          <w:p w14:paraId="1201BEA2" w14:textId="77777777" w:rsidR="0007113A" w:rsidRPr="0007113A" w:rsidRDefault="0007113A" w:rsidP="0007113A">
            <w:pPr>
              <w:spacing w:after="0" w:line="240" w:lineRule="auto"/>
              <w:ind w:left="0" w:right="104"/>
              <w:rPr>
                <w:rFonts w:eastAsia="Arial MT"/>
                <w:b/>
                <w:sz w:val="22"/>
              </w:rPr>
            </w:pPr>
            <w:r w:rsidRPr="0007113A">
              <w:rPr>
                <w:rFonts w:eastAsia="Arial MT"/>
                <w:b/>
                <w:sz w:val="22"/>
              </w:rPr>
              <w:t>TOTAL DE INGRESOS QUE EL MUNICIPIO DE TEMAX YUCATÁN PERCIBIRÁ DURANTE EL EJERCICIO FISCAL 2022, ASCENDERÁ A:</w:t>
            </w:r>
          </w:p>
        </w:tc>
        <w:tc>
          <w:tcPr>
            <w:tcW w:w="2028" w:type="dxa"/>
          </w:tcPr>
          <w:p w14:paraId="67FB0618" w14:textId="77777777" w:rsidR="0007113A" w:rsidRPr="0007113A" w:rsidRDefault="0007113A" w:rsidP="0007113A">
            <w:pPr>
              <w:spacing w:after="0" w:line="240" w:lineRule="auto"/>
              <w:ind w:left="0"/>
              <w:rPr>
                <w:rFonts w:eastAsia="Arial MT"/>
                <w:b/>
                <w:sz w:val="22"/>
              </w:rPr>
            </w:pPr>
          </w:p>
          <w:p w14:paraId="2425BE3B" w14:textId="77777777" w:rsidR="0007113A" w:rsidRPr="0007113A" w:rsidRDefault="0007113A" w:rsidP="0007113A">
            <w:pPr>
              <w:spacing w:after="0" w:line="240" w:lineRule="auto"/>
              <w:ind w:left="0"/>
              <w:rPr>
                <w:rFonts w:eastAsia="Arial MT"/>
                <w:b/>
                <w:sz w:val="22"/>
              </w:rPr>
            </w:pPr>
          </w:p>
          <w:p w14:paraId="56FFAC68" w14:textId="77777777" w:rsidR="0007113A" w:rsidRPr="0007113A" w:rsidRDefault="0007113A" w:rsidP="0007113A">
            <w:pPr>
              <w:spacing w:after="0" w:line="240" w:lineRule="auto"/>
              <w:ind w:left="0"/>
              <w:rPr>
                <w:rFonts w:eastAsia="Arial MT"/>
                <w:b/>
                <w:sz w:val="22"/>
              </w:rPr>
            </w:pPr>
            <w:r w:rsidRPr="0007113A">
              <w:rPr>
                <w:rFonts w:eastAsia="Arial MT"/>
                <w:b/>
                <w:sz w:val="22"/>
              </w:rPr>
              <w:t>$ 42,819,014.00</w:t>
            </w:r>
          </w:p>
        </w:tc>
      </w:tr>
    </w:tbl>
    <w:p w14:paraId="144226B1" w14:textId="77777777" w:rsidR="0007113A" w:rsidRPr="0007113A" w:rsidRDefault="0007113A" w:rsidP="0007113A">
      <w:pPr>
        <w:spacing w:after="0" w:line="240" w:lineRule="auto"/>
        <w:ind w:left="0"/>
        <w:rPr>
          <w:rFonts w:eastAsia="Calibri"/>
          <w:w w:val="105"/>
          <w:sz w:val="22"/>
          <w:lang w:eastAsia="en-US"/>
        </w:rPr>
      </w:pPr>
    </w:p>
    <w:p w14:paraId="48D31291" w14:textId="77777777" w:rsidR="0007113A" w:rsidRPr="0007113A" w:rsidRDefault="0007113A" w:rsidP="0007113A">
      <w:pPr>
        <w:spacing w:after="0" w:line="240" w:lineRule="auto"/>
        <w:ind w:left="0"/>
        <w:rPr>
          <w:rFonts w:eastAsia="Calibri"/>
          <w:w w:val="105"/>
          <w:sz w:val="22"/>
          <w:lang w:eastAsia="en-US"/>
        </w:rPr>
      </w:pPr>
      <w:r w:rsidRPr="0007113A">
        <w:rPr>
          <w:rFonts w:eastAsia="Calibri"/>
          <w:b/>
          <w:w w:val="105"/>
          <w:sz w:val="22"/>
          <w:lang w:eastAsia="en-US"/>
        </w:rPr>
        <w:t>Artículo quinto.</w:t>
      </w:r>
      <w:r w:rsidRPr="0007113A">
        <w:rPr>
          <w:rFonts w:eastAsia="Calibri"/>
          <w:w w:val="105"/>
          <w:sz w:val="22"/>
          <w:lang w:eastAsia="en-US"/>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14:paraId="647C1C57" w14:textId="77777777" w:rsidR="0007113A" w:rsidRPr="0007113A" w:rsidRDefault="0007113A" w:rsidP="0007113A">
      <w:pPr>
        <w:spacing w:after="0" w:line="240" w:lineRule="auto"/>
        <w:ind w:left="0"/>
        <w:rPr>
          <w:rFonts w:eastAsia="Calibri"/>
          <w:w w:val="105"/>
          <w:sz w:val="22"/>
          <w:lang w:eastAsia="en-US"/>
        </w:rPr>
      </w:pPr>
    </w:p>
    <w:p w14:paraId="08582361"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12.</w:t>
      </w:r>
      <w:proofErr w:type="gramStart"/>
      <w:r w:rsidRPr="0007113A">
        <w:rPr>
          <w:rFonts w:eastAsia="Calibri"/>
          <w:b/>
          <w:sz w:val="22"/>
          <w:lang w:eastAsia="en-US"/>
        </w:rPr>
        <w:t xml:space="preserve">- </w:t>
      </w:r>
      <w:r w:rsidRPr="0007113A">
        <w:rPr>
          <w:rFonts w:eastAsia="Calibri"/>
          <w:sz w:val="22"/>
          <w:lang w:eastAsia="en-US"/>
        </w:rPr>
        <w:t>…</w:t>
      </w:r>
      <w:proofErr w:type="gramEnd"/>
    </w:p>
    <w:p w14:paraId="3851F7B0" w14:textId="77777777" w:rsidR="0007113A" w:rsidRPr="0007113A" w:rsidRDefault="0007113A" w:rsidP="0007113A">
      <w:pPr>
        <w:spacing w:after="0" w:line="240" w:lineRule="auto"/>
        <w:ind w:left="0"/>
        <w:rPr>
          <w:rFonts w:eastAsia="Calibri"/>
          <w:sz w:val="22"/>
          <w:lang w:eastAsia="en-US"/>
        </w:rPr>
      </w:pPr>
    </w:p>
    <w:tbl>
      <w:tblPr>
        <w:tblW w:w="6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07113A" w:rsidRPr="0007113A" w14:paraId="18CF90EC" w14:textId="77777777" w:rsidTr="001A240C">
        <w:trPr>
          <w:trHeight w:val="343"/>
          <w:jc w:val="center"/>
        </w:trPr>
        <w:tc>
          <w:tcPr>
            <w:tcW w:w="4618" w:type="dxa"/>
          </w:tcPr>
          <w:p w14:paraId="3B97DE4C"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Ingresos derivados de financiamientos</w:t>
            </w:r>
          </w:p>
        </w:tc>
        <w:tc>
          <w:tcPr>
            <w:tcW w:w="2381" w:type="dxa"/>
          </w:tcPr>
          <w:p w14:paraId="4C37EEC3"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2,529,966.00</w:t>
            </w:r>
          </w:p>
        </w:tc>
      </w:tr>
      <w:tr w:rsidR="0007113A" w:rsidRPr="0007113A" w14:paraId="2F374D61" w14:textId="77777777" w:rsidTr="001A240C">
        <w:trPr>
          <w:trHeight w:val="345"/>
          <w:jc w:val="center"/>
        </w:trPr>
        <w:tc>
          <w:tcPr>
            <w:tcW w:w="4618" w:type="dxa"/>
          </w:tcPr>
          <w:p w14:paraId="6DF77EA8"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Endeudamiento interno</w:t>
            </w:r>
          </w:p>
        </w:tc>
        <w:tc>
          <w:tcPr>
            <w:tcW w:w="2381" w:type="dxa"/>
          </w:tcPr>
          <w:p w14:paraId="4AC2D377"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2,529,966.00</w:t>
            </w:r>
          </w:p>
        </w:tc>
      </w:tr>
      <w:tr w:rsidR="0007113A" w:rsidRPr="0007113A" w14:paraId="47C1A281" w14:textId="77777777" w:rsidTr="001A240C">
        <w:trPr>
          <w:trHeight w:val="345"/>
          <w:jc w:val="center"/>
        </w:trPr>
        <w:tc>
          <w:tcPr>
            <w:tcW w:w="4618" w:type="dxa"/>
          </w:tcPr>
          <w:p w14:paraId="77A05136"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xml:space="preserve"> Empréstitos o financiamientos</w:t>
            </w:r>
          </w:p>
        </w:tc>
        <w:tc>
          <w:tcPr>
            <w:tcW w:w="2381" w:type="dxa"/>
          </w:tcPr>
          <w:p w14:paraId="5C586FB0"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2,529,966.00</w:t>
            </w:r>
          </w:p>
        </w:tc>
      </w:tr>
    </w:tbl>
    <w:p w14:paraId="6A841A75" w14:textId="77777777" w:rsidR="0007113A" w:rsidRPr="0007113A" w:rsidRDefault="0007113A" w:rsidP="0007113A">
      <w:pPr>
        <w:spacing w:after="0" w:line="240" w:lineRule="auto"/>
        <w:ind w:left="0"/>
        <w:rPr>
          <w:rFonts w:eastAsia="Calibri"/>
          <w:sz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2131"/>
      </w:tblGrid>
      <w:tr w:rsidR="0007113A" w:rsidRPr="0007113A" w14:paraId="1500247A" w14:textId="77777777" w:rsidTr="001A240C">
        <w:trPr>
          <w:trHeight w:val="699"/>
          <w:jc w:val="center"/>
        </w:trPr>
        <w:tc>
          <w:tcPr>
            <w:tcW w:w="6941" w:type="dxa"/>
          </w:tcPr>
          <w:p w14:paraId="68F7F469" w14:textId="77777777" w:rsidR="0007113A" w:rsidRPr="0007113A" w:rsidRDefault="0007113A" w:rsidP="0007113A">
            <w:pPr>
              <w:widowControl w:val="0"/>
              <w:pBdr>
                <w:top w:val="nil"/>
                <w:left w:val="nil"/>
                <w:bottom w:val="nil"/>
                <w:right w:val="nil"/>
                <w:between w:val="nil"/>
              </w:pBdr>
              <w:spacing w:after="0" w:line="240" w:lineRule="auto"/>
              <w:ind w:left="0"/>
              <w:rPr>
                <w:b/>
                <w:sz w:val="22"/>
              </w:rPr>
            </w:pPr>
            <w:r w:rsidRPr="0007113A">
              <w:rPr>
                <w:b/>
                <w:sz w:val="22"/>
              </w:rPr>
              <w:t>EL TOTAL DE INGRESOS QUE EL MUNICIPIO DE TEYA, YUCATÁN PERCIBIRÁ DURANTE EL EJERCICIO FISCAL 2022, ASCENDERÁ A:</w:t>
            </w:r>
          </w:p>
        </w:tc>
        <w:tc>
          <w:tcPr>
            <w:tcW w:w="2131" w:type="dxa"/>
          </w:tcPr>
          <w:p w14:paraId="0B684E4B" w14:textId="77777777" w:rsidR="0007113A" w:rsidRPr="0007113A" w:rsidRDefault="0007113A" w:rsidP="0007113A">
            <w:pPr>
              <w:widowControl w:val="0"/>
              <w:pBdr>
                <w:top w:val="nil"/>
                <w:left w:val="nil"/>
                <w:bottom w:val="nil"/>
                <w:right w:val="nil"/>
                <w:between w:val="nil"/>
              </w:pBdr>
              <w:spacing w:after="0" w:line="240" w:lineRule="auto"/>
              <w:ind w:left="0"/>
              <w:rPr>
                <w:rFonts w:eastAsia="Arial MT"/>
                <w:sz w:val="22"/>
              </w:rPr>
            </w:pPr>
          </w:p>
          <w:p w14:paraId="3B90472C" w14:textId="77777777" w:rsidR="0007113A" w:rsidRPr="0007113A" w:rsidRDefault="0007113A" w:rsidP="0007113A">
            <w:pPr>
              <w:widowControl w:val="0"/>
              <w:pBdr>
                <w:top w:val="nil"/>
                <w:left w:val="nil"/>
                <w:bottom w:val="nil"/>
                <w:right w:val="nil"/>
                <w:between w:val="nil"/>
              </w:pBdr>
              <w:spacing w:after="0" w:line="240" w:lineRule="auto"/>
              <w:ind w:left="0"/>
              <w:rPr>
                <w:rFonts w:eastAsia="Arial MT"/>
                <w:sz w:val="22"/>
              </w:rPr>
            </w:pPr>
          </w:p>
          <w:p w14:paraId="2907381B" w14:textId="77777777" w:rsidR="0007113A" w:rsidRPr="0007113A" w:rsidRDefault="0007113A" w:rsidP="0007113A">
            <w:pPr>
              <w:widowControl w:val="0"/>
              <w:pBdr>
                <w:top w:val="nil"/>
                <w:left w:val="nil"/>
                <w:bottom w:val="nil"/>
                <w:right w:val="nil"/>
                <w:between w:val="nil"/>
              </w:pBdr>
              <w:spacing w:after="0" w:line="240" w:lineRule="auto"/>
              <w:ind w:left="0"/>
              <w:jc w:val="right"/>
              <w:rPr>
                <w:sz w:val="22"/>
              </w:rPr>
            </w:pPr>
            <w:r w:rsidRPr="0007113A">
              <w:rPr>
                <w:sz w:val="22"/>
              </w:rPr>
              <w:t>$ 21,728,731.00</w:t>
            </w:r>
          </w:p>
        </w:tc>
      </w:tr>
    </w:tbl>
    <w:p w14:paraId="4184066E" w14:textId="77777777" w:rsidR="0007113A" w:rsidRPr="0007113A" w:rsidRDefault="0007113A" w:rsidP="0007113A">
      <w:pPr>
        <w:spacing w:after="0" w:line="240" w:lineRule="auto"/>
        <w:ind w:left="0"/>
        <w:rPr>
          <w:rFonts w:eastAsia="Calibri"/>
          <w:b/>
          <w:sz w:val="22"/>
          <w:lang w:eastAsia="en-US"/>
        </w:rPr>
      </w:pPr>
    </w:p>
    <w:p w14:paraId="00F786F3"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sexto.</w:t>
      </w:r>
      <w:r w:rsidRPr="0007113A">
        <w:rPr>
          <w:rFonts w:eastAsia="Calibri"/>
          <w:sz w:val="22"/>
          <w:lang w:eastAsia="en-US"/>
        </w:rPr>
        <w:t xml:space="preserve"> Se reforma el artículo 45, en específico los montos de la fracción primera referente a “Empréstitos o financiamientos” y el “total de ingresos extraordinarios”; así como el total de ingresos a percibir por el Municipio de </w:t>
      </w:r>
      <w:proofErr w:type="spellStart"/>
      <w:r w:rsidRPr="0007113A">
        <w:rPr>
          <w:rFonts w:eastAsia="Calibri"/>
          <w:sz w:val="22"/>
          <w:lang w:eastAsia="en-US"/>
        </w:rPr>
        <w:t>Tzimín</w:t>
      </w:r>
      <w:proofErr w:type="spellEnd"/>
      <w:r w:rsidRPr="0007113A">
        <w:rPr>
          <w:rFonts w:eastAsia="Calibri"/>
          <w:sz w:val="22"/>
          <w:lang w:eastAsia="en-US"/>
        </w:rPr>
        <w:t xml:space="preserve">, todos de la Ley de Ingresos del Municipio de </w:t>
      </w:r>
      <w:proofErr w:type="spellStart"/>
      <w:r w:rsidRPr="0007113A">
        <w:rPr>
          <w:rFonts w:eastAsia="Calibri"/>
          <w:sz w:val="22"/>
          <w:lang w:eastAsia="en-US"/>
        </w:rPr>
        <w:t>Tizimín</w:t>
      </w:r>
      <w:proofErr w:type="spellEnd"/>
      <w:r w:rsidRPr="0007113A">
        <w:rPr>
          <w:rFonts w:eastAsia="Calibri"/>
          <w:sz w:val="22"/>
          <w:lang w:eastAsia="en-US"/>
        </w:rPr>
        <w:t>, Yucatán, para el ejercicio fiscal 2022, para quedar como sigue:</w:t>
      </w:r>
    </w:p>
    <w:p w14:paraId="3300DBB7" w14:textId="77777777" w:rsidR="0007113A" w:rsidRPr="0007113A" w:rsidRDefault="0007113A" w:rsidP="0007113A">
      <w:pPr>
        <w:spacing w:after="0" w:line="240" w:lineRule="auto"/>
        <w:ind w:left="0"/>
        <w:rPr>
          <w:rFonts w:eastAsia="Calibri"/>
          <w:sz w:val="22"/>
          <w:lang w:eastAsia="en-US"/>
        </w:rPr>
      </w:pPr>
    </w:p>
    <w:p w14:paraId="42F9C13D"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45.</w:t>
      </w:r>
      <w:proofErr w:type="gramStart"/>
      <w:r w:rsidRPr="0007113A">
        <w:rPr>
          <w:rFonts w:eastAsia="Calibri"/>
          <w:b/>
          <w:sz w:val="22"/>
          <w:lang w:eastAsia="en-US"/>
        </w:rPr>
        <w:t xml:space="preserve">- </w:t>
      </w:r>
      <w:r w:rsidRPr="0007113A">
        <w:rPr>
          <w:rFonts w:eastAsia="Calibri"/>
          <w:sz w:val="22"/>
          <w:lang w:eastAsia="en-US"/>
        </w:rPr>
        <w:t>…</w:t>
      </w:r>
      <w:proofErr w:type="gramEnd"/>
    </w:p>
    <w:p w14:paraId="02772AA0" w14:textId="77777777" w:rsidR="0007113A" w:rsidRPr="0007113A" w:rsidRDefault="0007113A" w:rsidP="0007113A">
      <w:pPr>
        <w:spacing w:after="0" w:line="240" w:lineRule="auto"/>
        <w:ind w:left="0"/>
        <w:rPr>
          <w:rFonts w:eastAsia="Calibri"/>
          <w:b/>
          <w:sz w:val="22"/>
          <w:lang w:eastAsia="en-US"/>
        </w:rPr>
      </w:pPr>
    </w:p>
    <w:tbl>
      <w:tblPr>
        <w:tblStyle w:val="Tablaconcuadrcula1"/>
        <w:tblW w:w="6545" w:type="dxa"/>
        <w:jc w:val="center"/>
        <w:tblLayout w:type="fixed"/>
        <w:tblLook w:val="04A0" w:firstRow="1" w:lastRow="0" w:firstColumn="1" w:lastColumn="0" w:noHBand="0" w:noVBand="1"/>
      </w:tblPr>
      <w:tblGrid>
        <w:gridCol w:w="4277"/>
        <w:gridCol w:w="2268"/>
      </w:tblGrid>
      <w:tr w:rsidR="0007113A" w:rsidRPr="0007113A" w14:paraId="691CF6EF" w14:textId="77777777" w:rsidTr="001A240C">
        <w:trPr>
          <w:jc w:val="center"/>
        </w:trPr>
        <w:tc>
          <w:tcPr>
            <w:tcW w:w="4277" w:type="dxa"/>
          </w:tcPr>
          <w:p w14:paraId="30AAF5AC" w14:textId="77777777" w:rsidR="0007113A" w:rsidRPr="0007113A" w:rsidRDefault="0007113A" w:rsidP="0007113A">
            <w:pPr>
              <w:spacing w:after="0" w:line="240" w:lineRule="auto"/>
              <w:ind w:left="0"/>
              <w:rPr>
                <w:sz w:val="22"/>
                <w:szCs w:val="22"/>
                <w:lang w:eastAsia="en-US"/>
              </w:rPr>
            </w:pPr>
            <w:r w:rsidRPr="0007113A">
              <w:rPr>
                <w:b/>
                <w:sz w:val="22"/>
                <w:szCs w:val="22"/>
                <w:lang w:eastAsia="en-US"/>
              </w:rPr>
              <w:t>I.-</w:t>
            </w:r>
            <w:r w:rsidRPr="0007113A">
              <w:rPr>
                <w:sz w:val="22"/>
                <w:szCs w:val="22"/>
                <w:lang w:eastAsia="en-US"/>
              </w:rPr>
              <w:t xml:space="preserve"> Empréstitos o financiamientos</w:t>
            </w:r>
          </w:p>
        </w:tc>
        <w:tc>
          <w:tcPr>
            <w:tcW w:w="2268" w:type="dxa"/>
          </w:tcPr>
          <w:p w14:paraId="299F8E25" w14:textId="77777777" w:rsidR="0007113A" w:rsidRPr="0007113A" w:rsidRDefault="0007113A" w:rsidP="0007113A">
            <w:pPr>
              <w:spacing w:after="0" w:line="240" w:lineRule="auto"/>
              <w:ind w:left="0"/>
              <w:jc w:val="right"/>
              <w:rPr>
                <w:sz w:val="22"/>
                <w:szCs w:val="22"/>
                <w:lang w:eastAsia="en-US"/>
              </w:rPr>
            </w:pPr>
            <w:r w:rsidRPr="0007113A">
              <w:rPr>
                <w:sz w:val="22"/>
                <w:szCs w:val="22"/>
                <w:lang w:eastAsia="en-US"/>
              </w:rPr>
              <w:t xml:space="preserve"> $ 68,035,634.00 </w:t>
            </w:r>
          </w:p>
        </w:tc>
      </w:tr>
      <w:tr w:rsidR="0007113A" w:rsidRPr="0007113A" w14:paraId="451C383F" w14:textId="77777777" w:rsidTr="001A240C">
        <w:trPr>
          <w:jc w:val="center"/>
        </w:trPr>
        <w:tc>
          <w:tcPr>
            <w:tcW w:w="4277" w:type="dxa"/>
          </w:tcPr>
          <w:p w14:paraId="173A1255" w14:textId="77777777" w:rsidR="0007113A" w:rsidRPr="0007113A" w:rsidRDefault="0007113A" w:rsidP="0007113A">
            <w:pPr>
              <w:spacing w:after="0" w:line="240" w:lineRule="auto"/>
              <w:ind w:left="0"/>
              <w:rPr>
                <w:sz w:val="22"/>
                <w:szCs w:val="22"/>
                <w:lang w:eastAsia="en-US"/>
              </w:rPr>
            </w:pPr>
            <w:r w:rsidRPr="0007113A">
              <w:rPr>
                <w:b/>
                <w:sz w:val="22"/>
                <w:szCs w:val="22"/>
                <w:lang w:eastAsia="en-US"/>
              </w:rPr>
              <w:t>II.-</w:t>
            </w:r>
            <w:r w:rsidRPr="0007113A">
              <w:rPr>
                <w:sz w:val="22"/>
                <w:szCs w:val="22"/>
                <w:lang w:eastAsia="en-US"/>
              </w:rPr>
              <w:t xml:space="preserve"> …</w:t>
            </w:r>
          </w:p>
        </w:tc>
        <w:tc>
          <w:tcPr>
            <w:tcW w:w="2268" w:type="dxa"/>
          </w:tcPr>
          <w:p w14:paraId="29DE02C0" w14:textId="77777777" w:rsidR="0007113A" w:rsidRPr="0007113A" w:rsidRDefault="0007113A" w:rsidP="0007113A">
            <w:pPr>
              <w:spacing w:after="0" w:line="240" w:lineRule="auto"/>
              <w:ind w:left="0"/>
              <w:jc w:val="right"/>
              <w:rPr>
                <w:sz w:val="22"/>
                <w:szCs w:val="22"/>
                <w:lang w:eastAsia="en-US"/>
              </w:rPr>
            </w:pPr>
            <w:r w:rsidRPr="0007113A">
              <w:rPr>
                <w:sz w:val="22"/>
                <w:szCs w:val="22"/>
                <w:lang w:eastAsia="en-US"/>
              </w:rPr>
              <w:t>…</w:t>
            </w:r>
          </w:p>
        </w:tc>
      </w:tr>
      <w:tr w:rsidR="0007113A" w:rsidRPr="0007113A" w14:paraId="05868952" w14:textId="77777777" w:rsidTr="001A240C">
        <w:trPr>
          <w:jc w:val="center"/>
        </w:trPr>
        <w:tc>
          <w:tcPr>
            <w:tcW w:w="4277" w:type="dxa"/>
          </w:tcPr>
          <w:p w14:paraId="66A6A113" w14:textId="77777777" w:rsidR="0007113A" w:rsidRPr="0007113A" w:rsidRDefault="0007113A" w:rsidP="0007113A">
            <w:pPr>
              <w:spacing w:after="0" w:line="240" w:lineRule="auto"/>
              <w:ind w:left="0"/>
              <w:rPr>
                <w:b/>
                <w:sz w:val="22"/>
                <w:szCs w:val="22"/>
                <w:lang w:eastAsia="en-US"/>
              </w:rPr>
            </w:pPr>
            <w:r w:rsidRPr="0007113A">
              <w:rPr>
                <w:b/>
                <w:sz w:val="22"/>
                <w:szCs w:val="22"/>
                <w:lang w:eastAsia="en-US"/>
              </w:rPr>
              <w:t>Total de Ingresos Extraordinarios:</w:t>
            </w:r>
          </w:p>
        </w:tc>
        <w:tc>
          <w:tcPr>
            <w:tcW w:w="2268" w:type="dxa"/>
          </w:tcPr>
          <w:p w14:paraId="217E4E17" w14:textId="77777777" w:rsidR="0007113A" w:rsidRPr="0007113A" w:rsidRDefault="0007113A" w:rsidP="0007113A">
            <w:pPr>
              <w:spacing w:after="0" w:line="240" w:lineRule="auto"/>
              <w:ind w:left="0"/>
              <w:jc w:val="right"/>
              <w:rPr>
                <w:b/>
                <w:sz w:val="22"/>
                <w:szCs w:val="22"/>
                <w:lang w:eastAsia="en-US"/>
              </w:rPr>
            </w:pPr>
            <w:r w:rsidRPr="0007113A">
              <w:rPr>
                <w:sz w:val="22"/>
                <w:szCs w:val="22"/>
                <w:lang w:eastAsia="en-US"/>
              </w:rPr>
              <w:t>$ 68,035,634.00</w:t>
            </w:r>
          </w:p>
        </w:tc>
      </w:tr>
    </w:tbl>
    <w:p w14:paraId="154ED4C6" w14:textId="77777777" w:rsidR="0007113A" w:rsidRPr="0007113A" w:rsidRDefault="0007113A" w:rsidP="0007113A">
      <w:pPr>
        <w:spacing w:after="0" w:line="240" w:lineRule="auto"/>
        <w:ind w:left="0"/>
        <w:rPr>
          <w:rFonts w:eastAsia="Calibri"/>
          <w:b/>
          <w:sz w:val="22"/>
          <w:lang w:eastAsia="en-US"/>
        </w:rPr>
      </w:pPr>
    </w:p>
    <w:p w14:paraId="0C457C6F" w14:textId="77777777" w:rsidR="0007113A" w:rsidRPr="0007113A" w:rsidRDefault="0007113A" w:rsidP="0007113A">
      <w:pPr>
        <w:spacing w:after="0" w:line="240" w:lineRule="auto"/>
        <w:ind w:left="0" w:firstLine="708"/>
        <w:rPr>
          <w:rFonts w:eastAsia="Calibri"/>
          <w:sz w:val="22"/>
          <w:lang w:eastAsia="en-US"/>
        </w:rPr>
      </w:pPr>
      <w:r w:rsidRPr="0007113A">
        <w:rPr>
          <w:rFonts w:eastAsia="Calibri"/>
          <w:sz w:val="22"/>
          <w:lang w:eastAsia="en-US"/>
        </w:rPr>
        <w:t xml:space="preserve">El total de ingresos que el Ayuntamiento de </w:t>
      </w:r>
      <w:proofErr w:type="spellStart"/>
      <w:r w:rsidRPr="0007113A">
        <w:rPr>
          <w:rFonts w:eastAsia="Calibri"/>
          <w:sz w:val="22"/>
          <w:lang w:eastAsia="en-US"/>
        </w:rPr>
        <w:t>Tizimín</w:t>
      </w:r>
      <w:proofErr w:type="spellEnd"/>
      <w:r w:rsidRPr="0007113A">
        <w:rPr>
          <w:rFonts w:eastAsia="Calibri"/>
          <w:sz w:val="22"/>
          <w:lang w:eastAsia="en-US"/>
        </w:rPr>
        <w:t>, Yucatán, percibirá en el ejercicio fiscal 2022 ascenderá a: $ 366’752,082.00.</w:t>
      </w:r>
    </w:p>
    <w:p w14:paraId="60C37342" w14:textId="77777777" w:rsidR="0007113A" w:rsidRPr="0007113A" w:rsidRDefault="0007113A" w:rsidP="0007113A">
      <w:pPr>
        <w:spacing w:after="0" w:line="240" w:lineRule="auto"/>
        <w:ind w:left="0"/>
        <w:rPr>
          <w:rFonts w:eastAsia="Calibri"/>
          <w:sz w:val="22"/>
          <w:lang w:eastAsia="en-US"/>
        </w:rPr>
      </w:pPr>
    </w:p>
    <w:p w14:paraId="45298903"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séptimo.</w:t>
      </w:r>
      <w:r w:rsidRPr="0007113A">
        <w:rPr>
          <w:rFonts w:eastAsia="Calibri"/>
          <w:sz w:val="22"/>
          <w:lang w:eastAsia="en-US"/>
        </w:rPr>
        <w:t xml:space="preserve"> Se reforma el artículo 12, en específico los montos de los rubros de “Ingresos derivados de financiamientos”, “Endeudamiento interno”, y “Empréstitos o financiamientos”; así como el total de ingresos a percibir por el Municipio de </w:t>
      </w:r>
      <w:proofErr w:type="spellStart"/>
      <w:r w:rsidRPr="0007113A">
        <w:rPr>
          <w:rFonts w:eastAsia="Calibri"/>
          <w:sz w:val="22"/>
          <w:lang w:eastAsia="en-US"/>
        </w:rPr>
        <w:t>Tzucacab</w:t>
      </w:r>
      <w:proofErr w:type="spellEnd"/>
      <w:r w:rsidRPr="0007113A">
        <w:rPr>
          <w:rFonts w:eastAsia="Calibri"/>
          <w:sz w:val="22"/>
          <w:lang w:eastAsia="en-US"/>
        </w:rPr>
        <w:t xml:space="preserve">, todos de la Ley de Ingresos del Municipio de </w:t>
      </w:r>
      <w:proofErr w:type="spellStart"/>
      <w:r w:rsidRPr="0007113A">
        <w:rPr>
          <w:rFonts w:eastAsia="Calibri"/>
          <w:sz w:val="22"/>
          <w:lang w:eastAsia="en-US"/>
        </w:rPr>
        <w:t>Tzucacab</w:t>
      </w:r>
      <w:proofErr w:type="spellEnd"/>
      <w:r w:rsidRPr="0007113A">
        <w:rPr>
          <w:rFonts w:eastAsia="Calibri"/>
          <w:sz w:val="22"/>
          <w:lang w:eastAsia="en-US"/>
        </w:rPr>
        <w:t>, Yucatán, para el ejercicio fiscal 2022, para quedar como sigue:</w:t>
      </w:r>
    </w:p>
    <w:p w14:paraId="657A105A" w14:textId="77777777" w:rsidR="0007113A" w:rsidRPr="0007113A" w:rsidRDefault="0007113A" w:rsidP="0007113A">
      <w:pPr>
        <w:spacing w:after="0" w:line="240" w:lineRule="auto"/>
        <w:ind w:left="0"/>
        <w:rPr>
          <w:rFonts w:eastAsia="Calibri"/>
          <w:w w:val="105"/>
          <w:sz w:val="22"/>
          <w:lang w:eastAsia="en-US"/>
        </w:rPr>
      </w:pPr>
    </w:p>
    <w:p w14:paraId="16D24BDA" w14:textId="77777777" w:rsidR="0007113A" w:rsidRPr="0007113A" w:rsidRDefault="0007113A" w:rsidP="0007113A">
      <w:pPr>
        <w:spacing w:after="0" w:line="240" w:lineRule="auto"/>
        <w:ind w:left="0"/>
        <w:rPr>
          <w:rFonts w:eastAsia="Calibri"/>
          <w:sz w:val="22"/>
          <w:lang w:eastAsia="en-US"/>
        </w:rPr>
      </w:pPr>
      <w:r w:rsidRPr="0007113A">
        <w:rPr>
          <w:rFonts w:eastAsia="Calibri"/>
          <w:b/>
          <w:sz w:val="22"/>
          <w:lang w:eastAsia="en-US"/>
        </w:rPr>
        <w:t>Artículo 12.</w:t>
      </w:r>
      <w:proofErr w:type="gramStart"/>
      <w:r w:rsidRPr="0007113A">
        <w:rPr>
          <w:rFonts w:eastAsia="Calibri"/>
          <w:b/>
          <w:sz w:val="22"/>
          <w:lang w:eastAsia="en-US"/>
        </w:rPr>
        <w:t>-</w:t>
      </w:r>
      <w:r w:rsidRPr="0007113A">
        <w:rPr>
          <w:rFonts w:eastAsia="Calibri"/>
          <w:sz w:val="22"/>
          <w:lang w:eastAsia="en-US"/>
        </w:rPr>
        <w:t xml:space="preserve"> …</w:t>
      </w:r>
      <w:proofErr w:type="gramEnd"/>
    </w:p>
    <w:tbl>
      <w:tblPr>
        <w:tblW w:w="6999"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2381"/>
      </w:tblGrid>
      <w:tr w:rsidR="0007113A" w:rsidRPr="0007113A" w14:paraId="0FC20942" w14:textId="77777777" w:rsidTr="001A240C">
        <w:trPr>
          <w:trHeight w:val="343"/>
        </w:trPr>
        <w:tc>
          <w:tcPr>
            <w:tcW w:w="4618" w:type="dxa"/>
          </w:tcPr>
          <w:p w14:paraId="1CB4A70A"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Ingresos derivados de financiamientos</w:t>
            </w:r>
          </w:p>
        </w:tc>
        <w:tc>
          <w:tcPr>
            <w:tcW w:w="2381" w:type="dxa"/>
          </w:tcPr>
          <w:p w14:paraId="5978F0FD"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20,648,081.00</w:t>
            </w:r>
          </w:p>
        </w:tc>
      </w:tr>
      <w:tr w:rsidR="0007113A" w:rsidRPr="0007113A" w14:paraId="4532E88B" w14:textId="77777777" w:rsidTr="001A240C">
        <w:trPr>
          <w:trHeight w:val="345"/>
        </w:trPr>
        <w:tc>
          <w:tcPr>
            <w:tcW w:w="4618" w:type="dxa"/>
          </w:tcPr>
          <w:p w14:paraId="21E9D94F"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Endeudamiento interno</w:t>
            </w:r>
          </w:p>
        </w:tc>
        <w:tc>
          <w:tcPr>
            <w:tcW w:w="2381" w:type="dxa"/>
          </w:tcPr>
          <w:p w14:paraId="2342653F"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20,648,081.00</w:t>
            </w:r>
            <w:r w:rsidRPr="0007113A">
              <w:rPr>
                <w:rFonts w:eastAsia="Calibri"/>
                <w:sz w:val="22"/>
                <w:lang w:eastAsia="en-US"/>
              </w:rPr>
              <w:tab/>
              <w:t xml:space="preserve">  </w:t>
            </w:r>
          </w:p>
        </w:tc>
      </w:tr>
      <w:tr w:rsidR="0007113A" w:rsidRPr="0007113A" w14:paraId="6AD34253" w14:textId="77777777" w:rsidTr="001A240C">
        <w:trPr>
          <w:trHeight w:val="345"/>
        </w:trPr>
        <w:tc>
          <w:tcPr>
            <w:tcW w:w="4618" w:type="dxa"/>
          </w:tcPr>
          <w:p w14:paraId="4D100159"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xml:space="preserve"> Empréstitos o financiamientos</w:t>
            </w:r>
          </w:p>
        </w:tc>
        <w:tc>
          <w:tcPr>
            <w:tcW w:w="2381" w:type="dxa"/>
          </w:tcPr>
          <w:p w14:paraId="7A109FE6"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20,648,081.00</w:t>
            </w:r>
          </w:p>
        </w:tc>
      </w:tr>
    </w:tbl>
    <w:p w14:paraId="45A44916" w14:textId="77777777" w:rsidR="0007113A" w:rsidRPr="0007113A" w:rsidRDefault="0007113A" w:rsidP="0007113A">
      <w:pPr>
        <w:spacing w:after="0" w:line="240" w:lineRule="auto"/>
        <w:ind w:left="0"/>
        <w:rPr>
          <w:rFonts w:eastAsia="Calibri"/>
          <w:sz w:val="22"/>
          <w:lang w:eastAsia="en-US"/>
        </w:rPr>
      </w:pPr>
    </w:p>
    <w:tbl>
      <w:tblPr>
        <w:tblStyle w:val="Tablaconcuadrcula3"/>
        <w:tblW w:w="5000" w:type="pct"/>
        <w:tblLook w:val="04A0" w:firstRow="1" w:lastRow="0" w:firstColumn="1" w:lastColumn="0" w:noHBand="0" w:noVBand="1"/>
      </w:tblPr>
      <w:tblGrid>
        <w:gridCol w:w="6983"/>
        <w:gridCol w:w="2000"/>
      </w:tblGrid>
      <w:tr w:rsidR="0007113A" w:rsidRPr="0007113A" w14:paraId="6ECC0C28" w14:textId="77777777" w:rsidTr="001A240C">
        <w:tc>
          <w:tcPr>
            <w:tcW w:w="3887" w:type="pct"/>
          </w:tcPr>
          <w:p w14:paraId="4A94B03A" w14:textId="77777777" w:rsidR="0007113A" w:rsidRPr="0007113A" w:rsidRDefault="0007113A" w:rsidP="0007113A">
            <w:pPr>
              <w:widowControl w:val="0"/>
              <w:autoSpaceDE w:val="0"/>
              <w:autoSpaceDN w:val="0"/>
              <w:adjustRightInd w:val="0"/>
              <w:spacing w:after="0" w:line="240" w:lineRule="auto"/>
              <w:ind w:left="0"/>
              <w:rPr>
                <w:sz w:val="22"/>
                <w:lang w:eastAsia="es-MX"/>
              </w:rPr>
            </w:pPr>
            <w:r w:rsidRPr="0007113A">
              <w:rPr>
                <w:b/>
                <w:bCs/>
                <w:sz w:val="22"/>
                <w:lang w:eastAsia="es-MX"/>
              </w:rPr>
              <w:t>EL TOTAL DE INGRESOS QUE EL MUNICIPIO DE TZUCACAB, YUCATÁN PERCIBIRÁ DURANTE EL EJERCICIO FISCAL 2022, ASCENDERÁ A:</w:t>
            </w:r>
          </w:p>
        </w:tc>
        <w:tc>
          <w:tcPr>
            <w:tcW w:w="1113" w:type="pct"/>
          </w:tcPr>
          <w:p w14:paraId="453975BD" w14:textId="77777777" w:rsidR="0007113A" w:rsidRPr="0007113A" w:rsidRDefault="0007113A" w:rsidP="0007113A">
            <w:pPr>
              <w:spacing w:after="0" w:line="240" w:lineRule="auto"/>
              <w:ind w:left="0"/>
              <w:jc w:val="right"/>
              <w:rPr>
                <w:b/>
                <w:bCs/>
                <w:sz w:val="22"/>
                <w:lang w:eastAsia="es-MX"/>
              </w:rPr>
            </w:pPr>
          </w:p>
          <w:p w14:paraId="4866B73D" w14:textId="77777777" w:rsidR="0007113A" w:rsidRPr="0007113A" w:rsidRDefault="0007113A" w:rsidP="0007113A">
            <w:pPr>
              <w:spacing w:after="0" w:line="240" w:lineRule="auto"/>
              <w:ind w:left="0"/>
              <w:rPr>
                <w:b/>
                <w:bCs/>
                <w:sz w:val="22"/>
                <w:lang w:eastAsia="es-MX"/>
              </w:rPr>
            </w:pPr>
          </w:p>
          <w:p w14:paraId="2790885C" w14:textId="77777777" w:rsidR="0007113A" w:rsidRPr="0007113A" w:rsidRDefault="0007113A" w:rsidP="0007113A">
            <w:pPr>
              <w:spacing w:after="0" w:line="240" w:lineRule="auto"/>
              <w:ind w:left="0"/>
              <w:rPr>
                <w:b/>
                <w:bCs/>
                <w:sz w:val="22"/>
                <w:lang w:eastAsia="es-MX"/>
              </w:rPr>
            </w:pPr>
            <w:r w:rsidRPr="0007113A">
              <w:rPr>
                <w:b/>
                <w:bCs/>
                <w:sz w:val="22"/>
                <w:lang w:eastAsia="es-MX"/>
              </w:rPr>
              <w:t>$  107,842,928.10</w:t>
            </w:r>
          </w:p>
        </w:tc>
      </w:tr>
    </w:tbl>
    <w:p w14:paraId="24FB5976" w14:textId="77777777" w:rsidR="0007113A" w:rsidRPr="0007113A" w:rsidRDefault="0007113A" w:rsidP="0007113A">
      <w:pPr>
        <w:spacing w:after="0" w:line="240" w:lineRule="auto"/>
        <w:ind w:left="0"/>
        <w:jc w:val="center"/>
        <w:rPr>
          <w:b/>
          <w:sz w:val="22"/>
        </w:rPr>
      </w:pPr>
    </w:p>
    <w:p w14:paraId="59A3D251" w14:textId="77777777" w:rsidR="0007113A" w:rsidRPr="0007113A" w:rsidRDefault="0007113A" w:rsidP="0007113A">
      <w:pPr>
        <w:spacing w:after="0" w:line="240" w:lineRule="auto"/>
        <w:ind w:left="0"/>
        <w:jc w:val="center"/>
        <w:rPr>
          <w:b/>
          <w:sz w:val="22"/>
        </w:rPr>
      </w:pPr>
      <w:r w:rsidRPr="0007113A">
        <w:rPr>
          <w:b/>
          <w:sz w:val="22"/>
        </w:rPr>
        <w:t>Transitorios</w:t>
      </w:r>
    </w:p>
    <w:p w14:paraId="7CC84E14" w14:textId="77777777" w:rsidR="0007113A" w:rsidRPr="0007113A" w:rsidRDefault="0007113A" w:rsidP="0007113A">
      <w:pPr>
        <w:tabs>
          <w:tab w:val="right" w:pos="8498"/>
        </w:tabs>
        <w:spacing w:after="0" w:line="240" w:lineRule="auto"/>
        <w:ind w:left="0"/>
        <w:rPr>
          <w:b/>
          <w:sz w:val="22"/>
        </w:rPr>
      </w:pPr>
    </w:p>
    <w:p w14:paraId="2B68619C" w14:textId="77777777" w:rsidR="0007113A" w:rsidRPr="0007113A" w:rsidRDefault="0007113A" w:rsidP="0007113A">
      <w:pPr>
        <w:tabs>
          <w:tab w:val="right" w:pos="8498"/>
        </w:tabs>
        <w:spacing w:after="0" w:line="240" w:lineRule="auto"/>
        <w:ind w:left="0"/>
        <w:rPr>
          <w:sz w:val="22"/>
        </w:rPr>
      </w:pPr>
      <w:r w:rsidRPr="0007113A">
        <w:rPr>
          <w:b/>
          <w:sz w:val="22"/>
        </w:rPr>
        <w:t>Artículo primero. Entrada en vigor</w:t>
      </w:r>
    </w:p>
    <w:p w14:paraId="5E755963" w14:textId="77777777" w:rsidR="0007113A" w:rsidRPr="0007113A" w:rsidRDefault="0007113A" w:rsidP="0007113A">
      <w:pPr>
        <w:spacing w:after="0" w:line="240" w:lineRule="auto"/>
        <w:ind w:left="0"/>
        <w:rPr>
          <w:sz w:val="22"/>
        </w:rPr>
      </w:pPr>
      <w:r w:rsidRPr="0007113A">
        <w:rPr>
          <w:sz w:val="22"/>
        </w:rPr>
        <w:t>Este decreto entrará en vigor el día siguiente al de su publicación en el Diario Oficial del Gobierno del Estado de Yucatán.</w:t>
      </w:r>
    </w:p>
    <w:p w14:paraId="56F32240" w14:textId="77777777" w:rsidR="0007113A" w:rsidRDefault="0007113A" w:rsidP="0007113A">
      <w:pPr>
        <w:spacing w:after="0" w:line="240" w:lineRule="auto"/>
        <w:ind w:left="0"/>
        <w:rPr>
          <w:b/>
          <w:sz w:val="22"/>
        </w:rPr>
      </w:pPr>
    </w:p>
    <w:p w14:paraId="5E409DB8" w14:textId="77777777" w:rsidR="00A50996" w:rsidRPr="0007113A" w:rsidRDefault="00A50996" w:rsidP="0007113A">
      <w:pPr>
        <w:spacing w:after="0" w:line="240" w:lineRule="auto"/>
        <w:ind w:left="0"/>
        <w:rPr>
          <w:b/>
          <w:sz w:val="22"/>
        </w:rPr>
      </w:pPr>
    </w:p>
    <w:p w14:paraId="4875D1AF" w14:textId="77777777" w:rsidR="0007113A" w:rsidRPr="0007113A" w:rsidRDefault="0007113A" w:rsidP="0007113A">
      <w:pPr>
        <w:spacing w:after="0" w:line="240" w:lineRule="auto"/>
        <w:ind w:left="0"/>
        <w:rPr>
          <w:b/>
          <w:sz w:val="22"/>
        </w:rPr>
      </w:pPr>
      <w:r w:rsidRPr="0007113A">
        <w:rPr>
          <w:b/>
          <w:sz w:val="22"/>
        </w:rPr>
        <w:t>Artículo segundo. Vigencia de autorización de los montos máximos</w:t>
      </w:r>
    </w:p>
    <w:p w14:paraId="6AF9F7A5" w14:textId="77777777" w:rsidR="0007113A" w:rsidRPr="0007113A" w:rsidRDefault="0007113A" w:rsidP="0007113A">
      <w:pPr>
        <w:spacing w:after="0" w:line="240" w:lineRule="auto"/>
        <w:ind w:left="0"/>
        <w:rPr>
          <w:sz w:val="22"/>
        </w:rPr>
      </w:pPr>
      <w:r w:rsidRPr="0007113A">
        <w:rPr>
          <w:sz w:val="22"/>
        </w:rPr>
        <w:t>La autorización prevista en este decreto estará vigente hasta el 31 de diciembre de 2023.</w:t>
      </w:r>
    </w:p>
    <w:p w14:paraId="129E6350" w14:textId="77777777" w:rsidR="0007113A" w:rsidRPr="0007113A" w:rsidRDefault="0007113A" w:rsidP="0007113A">
      <w:pPr>
        <w:spacing w:after="0" w:line="240" w:lineRule="auto"/>
        <w:ind w:left="0"/>
        <w:rPr>
          <w:sz w:val="22"/>
        </w:rPr>
      </w:pPr>
    </w:p>
    <w:p w14:paraId="6154BCF7" w14:textId="77777777" w:rsidR="0007113A" w:rsidRPr="0007113A" w:rsidRDefault="0007113A" w:rsidP="0007113A">
      <w:pPr>
        <w:spacing w:after="0" w:line="240" w:lineRule="auto"/>
        <w:ind w:left="0"/>
        <w:rPr>
          <w:b/>
          <w:sz w:val="22"/>
        </w:rPr>
      </w:pPr>
      <w:r w:rsidRPr="0007113A">
        <w:rPr>
          <w:b/>
          <w:sz w:val="22"/>
        </w:rPr>
        <w:t>Artículo tercero. Vigencia de las leyes municipales</w:t>
      </w:r>
    </w:p>
    <w:p w14:paraId="0AE245D2" w14:textId="77777777" w:rsidR="0007113A" w:rsidRPr="0007113A" w:rsidRDefault="0007113A" w:rsidP="0007113A">
      <w:pPr>
        <w:spacing w:after="0" w:line="240" w:lineRule="auto"/>
        <w:ind w:left="0"/>
        <w:rPr>
          <w:sz w:val="22"/>
        </w:rPr>
      </w:pPr>
      <w:r w:rsidRPr="0007113A">
        <w:rPr>
          <w:sz w:val="22"/>
        </w:rPr>
        <w:t xml:space="preserve">Los artículos segundo, tercero, cuarto, quinto, sexto y séptimo de este decreto que se refieren a la modificación de los montos de los rubros de “Ingresos derivados de financiamientos” de las </w:t>
      </w:r>
      <w:r w:rsidRPr="0007113A">
        <w:rPr>
          <w:rFonts w:eastAsia="Calibri"/>
          <w:sz w:val="22"/>
          <w:lang w:eastAsia="en-US"/>
        </w:rPr>
        <w:t xml:space="preserve">leyes de ingresos de los municipios de </w:t>
      </w:r>
      <w:proofErr w:type="spellStart"/>
      <w:r w:rsidRPr="0007113A">
        <w:rPr>
          <w:rFonts w:eastAsia="Calibri"/>
          <w:sz w:val="22"/>
          <w:lang w:eastAsia="en-US"/>
        </w:rPr>
        <w:t>Dzemul</w:t>
      </w:r>
      <w:proofErr w:type="spellEnd"/>
      <w:r w:rsidRPr="0007113A">
        <w:rPr>
          <w:rFonts w:eastAsia="Calibri"/>
          <w:sz w:val="22"/>
          <w:lang w:eastAsia="en-US"/>
        </w:rPr>
        <w:t xml:space="preserve">, </w:t>
      </w:r>
      <w:proofErr w:type="spellStart"/>
      <w:r w:rsidRPr="0007113A">
        <w:rPr>
          <w:rFonts w:eastAsia="Calibri"/>
          <w:sz w:val="22"/>
          <w:lang w:eastAsia="en-US"/>
        </w:rPr>
        <w:t>Hunucmá</w:t>
      </w:r>
      <w:proofErr w:type="spellEnd"/>
      <w:r w:rsidRPr="0007113A">
        <w:rPr>
          <w:rFonts w:eastAsia="Calibri"/>
          <w:sz w:val="22"/>
          <w:lang w:eastAsia="en-US"/>
        </w:rPr>
        <w:t xml:space="preserve">, </w:t>
      </w:r>
      <w:proofErr w:type="spellStart"/>
      <w:r w:rsidRPr="0007113A">
        <w:rPr>
          <w:rFonts w:eastAsia="Calibri"/>
          <w:sz w:val="22"/>
          <w:lang w:eastAsia="en-US"/>
        </w:rPr>
        <w:t>Temax</w:t>
      </w:r>
      <w:proofErr w:type="spellEnd"/>
      <w:r w:rsidRPr="0007113A">
        <w:rPr>
          <w:rFonts w:eastAsia="Calibri"/>
          <w:sz w:val="22"/>
          <w:lang w:eastAsia="en-US"/>
        </w:rPr>
        <w:t xml:space="preserve">, Teya, </w:t>
      </w:r>
      <w:proofErr w:type="spellStart"/>
      <w:r w:rsidRPr="0007113A">
        <w:rPr>
          <w:rFonts w:eastAsia="Calibri"/>
          <w:sz w:val="22"/>
          <w:lang w:eastAsia="en-US"/>
        </w:rPr>
        <w:t>Tizimín</w:t>
      </w:r>
      <w:proofErr w:type="spellEnd"/>
      <w:r w:rsidRPr="0007113A">
        <w:rPr>
          <w:rFonts w:eastAsia="Calibri"/>
          <w:sz w:val="22"/>
          <w:lang w:eastAsia="en-US"/>
        </w:rPr>
        <w:t xml:space="preserve"> y </w:t>
      </w:r>
      <w:proofErr w:type="spellStart"/>
      <w:r w:rsidRPr="0007113A">
        <w:rPr>
          <w:rFonts w:eastAsia="Calibri"/>
          <w:sz w:val="22"/>
          <w:lang w:eastAsia="en-US"/>
        </w:rPr>
        <w:t>Tzucacab</w:t>
      </w:r>
      <w:proofErr w:type="spellEnd"/>
      <w:r w:rsidRPr="0007113A">
        <w:rPr>
          <w:rFonts w:eastAsia="Calibri"/>
          <w:sz w:val="22"/>
          <w:lang w:eastAsia="en-US"/>
        </w:rPr>
        <w:t>, del estado de Yucatán, para el ejercicio fiscal 2022</w:t>
      </w:r>
      <w:r w:rsidRPr="0007113A">
        <w:rPr>
          <w:sz w:val="22"/>
        </w:rPr>
        <w:t>, tendrán vigencia hasta el 31 de diciembre de 2022.</w:t>
      </w:r>
    </w:p>
    <w:p w14:paraId="259D46F5" w14:textId="77777777" w:rsidR="0007113A" w:rsidRPr="0007113A" w:rsidRDefault="0007113A" w:rsidP="0007113A">
      <w:pPr>
        <w:spacing w:after="0" w:line="240" w:lineRule="auto"/>
        <w:ind w:left="0"/>
        <w:rPr>
          <w:sz w:val="22"/>
        </w:rPr>
      </w:pPr>
    </w:p>
    <w:p w14:paraId="1DB7EB4A" w14:textId="77777777" w:rsidR="0007113A" w:rsidRPr="0007113A" w:rsidRDefault="0007113A" w:rsidP="0007113A">
      <w:pPr>
        <w:spacing w:after="0" w:line="240" w:lineRule="auto"/>
        <w:ind w:left="0"/>
        <w:rPr>
          <w:rFonts w:eastAsia="Calibri"/>
          <w:b/>
          <w:sz w:val="22"/>
          <w:lang w:eastAsia="en-US"/>
        </w:rPr>
      </w:pPr>
      <w:r w:rsidRPr="0007113A">
        <w:rPr>
          <w:rFonts w:eastAsia="Calibri"/>
          <w:b/>
          <w:sz w:val="22"/>
          <w:lang w:eastAsia="en-US"/>
        </w:rPr>
        <w:t>Artículo cuarto.  De los montos autorizados en las leyes de ingresos.</w:t>
      </w:r>
    </w:p>
    <w:p w14:paraId="33CA37E5" w14:textId="77777777" w:rsidR="0007113A" w:rsidRPr="0007113A" w:rsidRDefault="0007113A" w:rsidP="0007113A">
      <w:pPr>
        <w:spacing w:after="0" w:line="240" w:lineRule="auto"/>
        <w:ind w:left="0"/>
        <w:rPr>
          <w:rFonts w:eastAsia="Calibri"/>
          <w:sz w:val="22"/>
          <w:lang w:eastAsia="en-US"/>
        </w:rPr>
      </w:pPr>
      <w:r w:rsidRPr="0007113A">
        <w:rPr>
          <w:rFonts w:eastAsia="Calibri"/>
          <w:sz w:val="22"/>
          <w:lang w:eastAsia="en-US"/>
        </w:rPr>
        <w:t xml:space="preserve">El monto adicional autorizado en las leyes de ingresos de los municipios de </w:t>
      </w:r>
      <w:proofErr w:type="spellStart"/>
      <w:r w:rsidRPr="0007113A">
        <w:rPr>
          <w:rFonts w:eastAsia="Calibri"/>
          <w:sz w:val="22"/>
          <w:lang w:eastAsia="en-US"/>
        </w:rPr>
        <w:t>Dzemul</w:t>
      </w:r>
      <w:proofErr w:type="spellEnd"/>
      <w:r w:rsidRPr="0007113A">
        <w:rPr>
          <w:rFonts w:eastAsia="Calibri"/>
          <w:sz w:val="22"/>
          <w:lang w:eastAsia="en-US"/>
        </w:rPr>
        <w:t xml:space="preserve">, </w:t>
      </w:r>
      <w:proofErr w:type="spellStart"/>
      <w:r w:rsidRPr="0007113A">
        <w:rPr>
          <w:rFonts w:eastAsia="Calibri"/>
          <w:sz w:val="22"/>
          <w:lang w:eastAsia="en-US"/>
        </w:rPr>
        <w:t>Hunucmá</w:t>
      </w:r>
      <w:proofErr w:type="spellEnd"/>
      <w:r w:rsidRPr="0007113A">
        <w:rPr>
          <w:rFonts w:eastAsia="Calibri"/>
          <w:sz w:val="22"/>
          <w:lang w:eastAsia="en-US"/>
        </w:rPr>
        <w:t xml:space="preserve">, </w:t>
      </w:r>
      <w:proofErr w:type="spellStart"/>
      <w:r w:rsidRPr="0007113A">
        <w:rPr>
          <w:rFonts w:eastAsia="Calibri"/>
          <w:sz w:val="22"/>
          <w:lang w:eastAsia="en-US"/>
        </w:rPr>
        <w:t>Temax</w:t>
      </w:r>
      <w:proofErr w:type="spellEnd"/>
      <w:r w:rsidRPr="0007113A">
        <w:rPr>
          <w:rFonts w:eastAsia="Calibri"/>
          <w:sz w:val="22"/>
          <w:lang w:eastAsia="en-US"/>
        </w:rPr>
        <w:t xml:space="preserve">, Teya, </w:t>
      </w:r>
      <w:proofErr w:type="spellStart"/>
      <w:r w:rsidRPr="0007113A">
        <w:rPr>
          <w:rFonts w:eastAsia="Calibri"/>
          <w:sz w:val="22"/>
          <w:lang w:eastAsia="en-US"/>
        </w:rPr>
        <w:t>Tizimín</w:t>
      </w:r>
      <w:proofErr w:type="spellEnd"/>
      <w:r w:rsidRPr="0007113A">
        <w:rPr>
          <w:rFonts w:eastAsia="Calibri"/>
          <w:sz w:val="22"/>
          <w:lang w:eastAsia="en-US"/>
        </w:rPr>
        <w:t xml:space="preserve"> y </w:t>
      </w:r>
      <w:proofErr w:type="spellStart"/>
      <w:r w:rsidRPr="0007113A">
        <w:rPr>
          <w:rFonts w:eastAsia="Calibri"/>
          <w:sz w:val="22"/>
          <w:lang w:eastAsia="en-US"/>
        </w:rPr>
        <w:t>Tzucacab</w:t>
      </w:r>
      <w:proofErr w:type="spellEnd"/>
      <w:r w:rsidRPr="0007113A">
        <w:rPr>
          <w:rFonts w:eastAsia="Calibri"/>
          <w:sz w:val="22"/>
          <w:lang w:eastAsia="en-US"/>
        </w:rPr>
        <w:t>,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14:paraId="6FCF2700" w14:textId="77777777" w:rsidR="0007113A" w:rsidRPr="0007113A" w:rsidRDefault="0007113A" w:rsidP="0007113A">
      <w:pPr>
        <w:spacing w:after="0" w:line="240" w:lineRule="auto"/>
        <w:ind w:left="0"/>
        <w:rPr>
          <w:rFonts w:eastAsia="Calibri"/>
          <w:b/>
          <w:sz w:val="22"/>
          <w:lang w:eastAsia="en-US"/>
        </w:rPr>
      </w:pPr>
    </w:p>
    <w:p w14:paraId="791830E5" w14:textId="77777777" w:rsidR="0007113A" w:rsidRPr="0007113A" w:rsidRDefault="0007113A" w:rsidP="0007113A">
      <w:pPr>
        <w:spacing w:after="0" w:line="240" w:lineRule="auto"/>
        <w:ind w:left="0"/>
        <w:rPr>
          <w:rFonts w:eastAsia="Calibri"/>
          <w:b/>
          <w:sz w:val="22"/>
          <w:lang w:eastAsia="en-US"/>
        </w:rPr>
      </w:pPr>
      <w:r w:rsidRPr="0007113A">
        <w:rPr>
          <w:rFonts w:eastAsia="Calibri"/>
          <w:b/>
          <w:sz w:val="22"/>
          <w:lang w:eastAsia="en-US"/>
        </w:rPr>
        <w:t>Artículo quinto. Cláusula derogatoria</w:t>
      </w:r>
    </w:p>
    <w:p w14:paraId="3AB3A257" w14:textId="3018B1CF" w:rsidR="0007113A" w:rsidRPr="0007113A" w:rsidRDefault="0007113A" w:rsidP="0007113A">
      <w:pPr>
        <w:tabs>
          <w:tab w:val="left" w:pos="4678"/>
        </w:tabs>
        <w:spacing w:after="0" w:line="240" w:lineRule="auto"/>
        <w:ind w:left="0" w:right="0" w:hanging="11"/>
        <w:rPr>
          <w:rFonts w:eastAsia="Calibri"/>
          <w:sz w:val="22"/>
          <w:lang w:eastAsia="en-US"/>
        </w:rPr>
      </w:pPr>
      <w:r w:rsidRPr="0007113A">
        <w:rPr>
          <w:rFonts w:eastAsia="Calibri"/>
          <w:sz w:val="22"/>
          <w:lang w:eastAsia="en-US"/>
        </w:rPr>
        <w:t xml:space="preserve"> Se derogan todas aquellas disposiciones de igual o menor rango que se opongan a este decreto.</w:t>
      </w:r>
    </w:p>
    <w:p w14:paraId="3E6A2C57" w14:textId="77777777" w:rsidR="0007113A" w:rsidRPr="0007113A" w:rsidRDefault="0007113A" w:rsidP="0007113A">
      <w:pPr>
        <w:tabs>
          <w:tab w:val="left" w:pos="4678"/>
        </w:tabs>
        <w:spacing w:after="0" w:line="240" w:lineRule="auto"/>
        <w:ind w:left="0" w:right="0" w:hanging="11"/>
        <w:rPr>
          <w:b/>
          <w:sz w:val="22"/>
        </w:rPr>
      </w:pPr>
    </w:p>
    <w:p w14:paraId="136E2A98" w14:textId="426FEC17" w:rsidR="00360FAE" w:rsidRPr="0007113A" w:rsidRDefault="00360FAE" w:rsidP="0007113A">
      <w:pPr>
        <w:tabs>
          <w:tab w:val="left" w:pos="4678"/>
        </w:tabs>
        <w:spacing w:after="0" w:line="240" w:lineRule="auto"/>
        <w:ind w:left="0" w:right="0" w:hanging="11"/>
        <w:rPr>
          <w:b/>
          <w:bCs/>
          <w:sz w:val="22"/>
        </w:rPr>
      </w:pPr>
      <w:r w:rsidRPr="0007113A">
        <w:rPr>
          <w:b/>
          <w:bCs/>
          <w:sz w:val="22"/>
        </w:rPr>
        <w:t xml:space="preserve">DADO EN LA SEDE DEL RECINTO DEL PODER LEGISLATIVO EN LA CIUDAD DE MÉRIDA, YUCATÁN, ESTADOS UNIDOS MEXICANOS A LOS </w:t>
      </w:r>
      <w:r w:rsidR="0007113A" w:rsidRPr="0007113A">
        <w:rPr>
          <w:b/>
          <w:bCs/>
          <w:sz w:val="22"/>
        </w:rPr>
        <w:t xml:space="preserve">QUINCE </w:t>
      </w:r>
      <w:r w:rsidR="00B06DA7" w:rsidRPr="0007113A">
        <w:rPr>
          <w:b/>
          <w:bCs/>
          <w:sz w:val="22"/>
        </w:rPr>
        <w:t>DÍAS DEL MES DE JUNIO</w:t>
      </w:r>
      <w:r w:rsidRPr="0007113A">
        <w:rPr>
          <w:b/>
          <w:bCs/>
          <w:sz w:val="22"/>
        </w:rPr>
        <w:t xml:space="preserve"> DEL AÑO DOS MIL VEINTIDÓS.</w:t>
      </w:r>
    </w:p>
    <w:p w14:paraId="069069C2" w14:textId="77777777" w:rsidR="00062A97" w:rsidRPr="0007113A" w:rsidRDefault="00062A97" w:rsidP="0007113A">
      <w:pPr>
        <w:tabs>
          <w:tab w:val="left" w:pos="4678"/>
        </w:tabs>
        <w:spacing w:after="0" w:line="240" w:lineRule="auto"/>
        <w:ind w:left="0" w:right="0" w:hanging="11"/>
        <w:rPr>
          <w:sz w:val="22"/>
        </w:rPr>
      </w:pPr>
    </w:p>
    <w:p w14:paraId="0464BA3A" w14:textId="77777777" w:rsidR="00360FAE" w:rsidRPr="0007113A" w:rsidRDefault="00360FAE" w:rsidP="0007113A">
      <w:pPr>
        <w:spacing w:after="0" w:line="240" w:lineRule="auto"/>
        <w:ind w:left="0" w:right="0"/>
        <w:jc w:val="center"/>
        <w:rPr>
          <w:b/>
          <w:caps/>
          <w:sz w:val="22"/>
        </w:rPr>
      </w:pPr>
    </w:p>
    <w:p w14:paraId="2748EE9B" w14:textId="78FAF040" w:rsidR="00360FAE" w:rsidRPr="0007113A" w:rsidRDefault="00D65D63" w:rsidP="0007113A">
      <w:pPr>
        <w:spacing w:after="0" w:line="240" w:lineRule="auto"/>
        <w:ind w:left="0" w:right="0" w:hanging="11"/>
        <w:jc w:val="center"/>
        <w:rPr>
          <w:b/>
          <w:sz w:val="22"/>
        </w:rPr>
      </w:pPr>
      <w:r w:rsidRPr="0007113A">
        <w:rPr>
          <w:b/>
          <w:sz w:val="22"/>
        </w:rPr>
        <w:t>PRESIDENTA</w:t>
      </w:r>
    </w:p>
    <w:p w14:paraId="33F6783E" w14:textId="77777777" w:rsidR="00360FAE" w:rsidRPr="0007113A" w:rsidRDefault="00360FAE" w:rsidP="0007113A">
      <w:pPr>
        <w:spacing w:after="0" w:line="240" w:lineRule="auto"/>
        <w:ind w:left="0" w:right="0" w:hanging="11"/>
        <w:jc w:val="center"/>
        <w:rPr>
          <w:b/>
          <w:sz w:val="22"/>
        </w:rPr>
      </w:pPr>
    </w:p>
    <w:p w14:paraId="116FA463" w14:textId="77777777" w:rsidR="00360FAE" w:rsidRPr="0007113A" w:rsidRDefault="00360FAE" w:rsidP="0007113A">
      <w:pPr>
        <w:spacing w:after="0" w:line="240" w:lineRule="auto"/>
        <w:ind w:left="0" w:right="0" w:hanging="11"/>
        <w:jc w:val="center"/>
        <w:rPr>
          <w:b/>
          <w:sz w:val="22"/>
        </w:rPr>
      </w:pPr>
    </w:p>
    <w:p w14:paraId="030236D8" w14:textId="77777777" w:rsidR="00360FAE" w:rsidRPr="0007113A" w:rsidRDefault="00360FAE" w:rsidP="0007113A">
      <w:pPr>
        <w:spacing w:after="0" w:line="240" w:lineRule="auto"/>
        <w:ind w:left="0" w:right="0" w:hanging="11"/>
        <w:jc w:val="center"/>
        <w:rPr>
          <w:b/>
          <w:sz w:val="22"/>
        </w:rPr>
      </w:pPr>
    </w:p>
    <w:p w14:paraId="06FEBDE3" w14:textId="77777777" w:rsidR="00360FAE" w:rsidRPr="0007113A" w:rsidRDefault="00360FAE" w:rsidP="0007113A">
      <w:pPr>
        <w:spacing w:after="0" w:line="240" w:lineRule="auto"/>
        <w:ind w:left="0" w:right="0" w:hanging="11"/>
        <w:jc w:val="center"/>
        <w:rPr>
          <w:b/>
          <w:sz w:val="22"/>
        </w:rPr>
      </w:pPr>
      <w:r w:rsidRPr="0007113A">
        <w:rPr>
          <w:b/>
          <w:sz w:val="22"/>
        </w:rPr>
        <w:t>DIP. INGRID DEL PILAR SANTOS DÍAZ.</w:t>
      </w:r>
    </w:p>
    <w:p w14:paraId="75C75088" w14:textId="77777777" w:rsidR="00360FAE" w:rsidRPr="0007113A" w:rsidRDefault="00360FAE" w:rsidP="0007113A">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07113A" w14:paraId="3E2F9337" w14:textId="77777777" w:rsidTr="0018503A">
        <w:trPr>
          <w:trHeight w:val="1215"/>
          <w:jc w:val="center"/>
        </w:trPr>
        <w:tc>
          <w:tcPr>
            <w:tcW w:w="5032" w:type="dxa"/>
          </w:tcPr>
          <w:p w14:paraId="7A696289" w14:textId="1D2A1C82" w:rsidR="00360FAE" w:rsidRPr="0007113A" w:rsidRDefault="00D65D63" w:rsidP="0007113A">
            <w:pPr>
              <w:spacing w:after="0" w:line="240" w:lineRule="auto"/>
              <w:ind w:left="0" w:right="0" w:hanging="11"/>
              <w:jc w:val="center"/>
              <w:rPr>
                <w:b/>
                <w:sz w:val="22"/>
              </w:rPr>
            </w:pPr>
            <w:r w:rsidRPr="0007113A">
              <w:rPr>
                <w:b/>
                <w:sz w:val="22"/>
              </w:rPr>
              <w:t>SECRETARIO</w:t>
            </w:r>
          </w:p>
          <w:p w14:paraId="37F61D54" w14:textId="77777777" w:rsidR="00360FAE" w:rsidRPr="0007113A" w:rsidRDefault="00360FAE" w:rsidP="0007113A">
            <w:pPr>
              <w:spacing w:after="0" w:line="240" w:lineRule="auto"/>
              <w:ind w:left="0" w:right="0" w:hanging="11"/>
              <w:jc w:val="center"/>
              <w:rPr>
                <w:b/>
                <w:sz w:val="22"/>
              </w:rPr>
            </w:pPr>
          </w:p>
          <w:p w14:paraId="77CFE738" w14:textId="77777777" w:rsidR="00360FAE" w:rsidRPr="0007113A" w:rsidRDefault="00360FAE" w:rsidP="0007113A">
            <w:pPr>
              <w:spacing w:after="0" w:line="240" w:lineRule="auto"/>
              <w:ind w:left="0" w:right="0" w:hanging="11"/>
              <w:jc w:val="center"/>
              <w:rPr>
                <w:b/>
                <w:sz w:val="22"/>
              </w:rPr>
            </w:pPr>
          </w:p>
          <w:p w14:paraId="7DE64906" w14:textId="77777777" w:rsidR="00360FAE" w:rsidRPr="0007113A" w:rsidRDefault="00360FAE" w:rsidP="0007113A">
            <w:pPr>
              <w:spacing w:after="0" w:line="240" w:lineRule="auto"/>
              <w:ind w:left="0" w:right="0" w:hanging="11"/>
              <w:jc w:val="center"/>
              <w:rPr>
                <w:b/>
                <w:sz w:val="22"/>
              </w:rPr>
            </w:pPr>
          </w:p>
          <w:p w14:paraId="068C6AC9" w14:textId="77777777" w:rsidR="00360FAE" w:rsidRPr="0007113A" w:rsidRDefault="00360FAE" w:rsidP="0007113A">
            <w:pPr>
              <w:spacing w:after="0" w:line="240" w:lineRule="auto"/>
              <w:ind w:left="0" w:right="0" w:hanging="11"/>
              <w:jc w:val="center"/>
              <w:rPr>
                <w:b/>
                <w:bCs/>
                <w:sz w:val="22"/>
              </w:rPr>
            </w:pPr>
            <w:r w:rsidRPr="0007113A">
              <w:rPr>
                <w:b/>
                <w:sz w:val="22"/>
              </w:rPr>
              <w:t xml:space="preserve">DIP. </w:t>
            </w:r>
            <w:r w:rsidRPr="0007113A">
              <w:rPr>
                <w:b/>
                <w:bCs/>
                <w:sz w:val="22"/>
              </w:rPr>
              <w:t xml:space="preserve">RAÚL ANTONIO ROMERO </w:t>
            </w:r>
          </w:p>
          <w:p w14:paraId="53E96162" w14:textId="77777777" w:rsidR="00360FAE" w:rsidRPr="0007113A" w:rsidRDefault="00360FAE" w:rsidP="0007113A">
            <w:pPr>
              <w:spacing w:after="0" w:line="240" w:lineRule="auto"/>
              <w:ind w:left="0" w:right="0" w:hanging="11"/>
              <w:jc w:val="center"/>
              <w:rPr>
                <w:b/>
                <w:sz w:val="22"/>
              </w:rPr>
            </w:pPr>
            <w:r w:rsidRPr="0007113A">
              <w:rPr>
                <w:b/>
                <w:bCs/>
                <w:sz w:val="22"/>
              </w:rPr>
              <w:t>CHEL</w:t>
            </w:r>
            <w:r w:rsidRPr="0007113A">
              <w:rPr>
                <w:b/>
                <w:sz w:val="22"/>
              </w:rPr>
              <w:t>.</w:t>
            </w:r>
          </w:p>
        </w:tc>
        <w:tc>
          <w:tcPr>
            <w:tcW w:w="4831" w:type="dxa"/>
          </w:tcPr>
          <w:p w14:paraId="3B49C791" w14:textId="3E640A33" w:rsidR="00360FAE" w:rsidRPr="0007113A" w:rsidRDefault="00665D44" w:rsidP="0007113A">
            <w:pPr>
              <w:spacing w:after="0" w:line="240" w:lineRule="auto"/>
              <w:ind w:left="0" w:right="0" w:hanging="11"/>
              <w:jc w:val="center"/>
              <w:rPr>
                <w:b/>
                <w:sz w:val="22"/>
              </w:rPr>
            </w:pPr>
            <w:r w:rsidRPr="0007113A">
              <w:rPr>
                <w:b/>
                <w:sz w:val="22"/>
              </w:rPr>
              <w:t>SECRETARIA</w:t>
            </w:r>
          </w:p>
          <w:p w14:paraId="1879CCC9" w14:textId="77777777" w:rsidR="00360FAE" w:rsidRPr="0007113A" w:rsidRDefault="00360FAE" w:rsidP="0007113A">
            <w:pPr>
              <w:spacing w:after="0" w:line="240" w:lineRule="auto"/>
              <w:ind w:left="0" w:right="0" w:hanging="11"/>
              <w:jc w:val="center"/>
              <w:rPr>
                <w:b/>
                <w:sz w:val="22"/>
              </w:rPr>
            </w:pPr>
          </w:p>
          <w:p w14:paraId="13B1FCF6" w14:textId="77777777" w:rsidR="00360FAE" w:rsidRPr="0007113A" w:rsidRDefault="00360FAE" w:rsidP="0007113A">
            <w:pPr>
              <w:spacing w:after="0" w:line="240" w:lineRule="auto"/>
              <w:ind w:left="0" w:right="0" w:hanging="11"/>
              <w:jc w:val="center"/>
              <w:rPr>
                <w:b/>
                <w:sz w:val="22"/>
              </w:rPr>
            </w:pPr>
          </w:p>
          <w:p w14:paraId="2E4216DA" w14:textId="77777777" w:rsidR="00360FAE" w:rsidRPr="0007113A" w:rsidRDefault="00360FAE" w:rsidP="0007113A">
            <w:pPr>
              <w:spacing w:after="0" w:line="240" w:lineRule="auto"/>
              <w:ind w:left="0" w:right="0" w:hanging="11"/>
              <w:jc w:val="center"/>
              <w:rPr>
                <w:b/>
                <w:sz w:val="22"/>
              </w:rPr>
            </w:pPr>
          </w:p>
          <w:p w14:paraId="3873667D" w14:textId="70BA44A2" w:rsidR="00360FAE" w:rsidRPr="0007113A" w:rsidRDefault="00360FAE" w:rsidP="0007113A">
            <w:pPr>
              <w:spacing w:after="0" w:line="240" w:lineRule="auto"/>
              <w:ind w:left="0" w:right="0" w:hanging="11"/>
              <w:jc w:val="center"/>
              <w:rPr>
                <w:b/>
                <w:sz w:val="22"/>
              </w:rPr>
            </w:pPr>
            <w:r w:rsidRPr="0007113A">
              <w:rPr>
                <w:b/>
                <w:sz w:val="22"/>
              </w:rPr>
              <w:t xml:space="preserve">DIP. </w:t>
            </w:r>
            <w:r w:rsidR="00665D44" w:rsidRPr="0007113A">
              <w:rPr>
                <w:b/>
                <w:sz w:val="22"/>
              </w:rPr>
              <w:t>ALEJANDRA DE LOS ÁNGELES NOVELO SEGURA</w:t>
            </w:r>
            <w:r w:rsidRPr="0007113A">
              <w:rPr>
                <w:b/>
                <w:sz w:val="22"/>
              </w:rPr>
              <w:t>.</w:t>
            </w:r>
          </w:p>
        </w:tc>
      </w:tr>
    </w:tbl>
    <w:p w14:paraId="422F7B99" w14:textId="77777777" w:rsidR="00360FAE" w:rsidRPr="0007113A" w:rsidRDefault="00360FAE" w:rsidP="0007113A">
      <w:pPr>
        <w:autoSpaceDE w:val="0"/>
        <w:autoSpaceDN w:val="0"/>
        <w:adjustRightInd w:val="0"/>
        <w:spacing w:after="0" w:line="240" w:lineRule="auto"/>
        <w:ind w:left="0"/>
        <w:rPr>
          <w:sz w:val="22"/>
        </w:rPr>
      </w:pPr>
    </w:p>
    <w:sectPr w:rsidR="00360FAE" w:rsidRPr="0007113A"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E59E1" w:rsidRPr="005E59E1">
          <w:rPr>
            <w:rFonts w:ascii="Arial" w:hAnsi="Arial" w:cs="Arial"/>
            <w:noProof/>
            <w:lang w:val="es-ES"/>
          </w:rPr>
          <w:t>12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F51E8"/>
    <w:multiLevelType w:val="multilevel"/>
    <w:tmpl w:val="2FB23846"/>
    <w:lvl w:ilvl="0">
      <w:start w:val="20"/>
      <w:numFmt w:val="upperRoman"/>
      <w:lvlText w:val="%1.-"/>
      <w:lvlJc w:val="left"/>
      <w:pPr>
        <w:ind w:left="143" w:firstLine="397"/>
      </w:pPr>
      <w:rPr>
        <w:rFonts w:hint="default"/>
        <w:b/>
        <w:i w:val="0"/>
      </w:rPr>
    </w:lvl>
    <w:lvl w:ilvl="1">
      <w:start w:val="1"/>
      <w:numFmt w:val="lowerLetter"/>
      <w:lvlText w:val="%2."/>
      <w:lvlJc w:val="left"/>
      <w:pPr>
        <w:ind w:left="1583" w:hanging="360"/>
      </w:pPr>
      <w:rPr>
        <w:rFonts w:hint="default"/>
      </w:rPr>
    </w:lvl>
    <w:lvl w:ilvl="2">
      <w:start w:val="1"/>
      <w:numFmt w:val="lowerRoman"/>
      <w:lvlText w:val="%3."/>
      <w:lvlJc w:val="right"/>
      <w:pPr>
        <w:ind w:left="2303" w:hanging="180"/>
      </w:pPr>
      <w:rPr>
        <w:rFonts w:hint="default"/>
      </w:rPr>
    </w:lvl>
    <w:lvl w:ilvl="3">
      <w:start w:val="1"/>
      <w:numFmt w:val="decimal"/>
      <w:lvlText w:val="%4."/>
      <w:lvlJc w:val="left"/>
      <w:pPr>
        <w:ind w:left="3023" w:hanging="360"/>
      </w:pPr>
      <w:rPr>
        <w:rFonts w:hint="default"/>
      </w:rPr>
    </w:lvl>
    <w:lvl w:ilvl="4">
      <w:start w:val="1"/>
      <w:numFmt w:val="lowerLetter"/>
      <w:lvlText w:val="%5."/>
      <w:lvlJc w:val="left"/>
      <w:pPr>
        <w:ind w:left="3743" w:hanging="360"/>
      </w:pPr>
      <w:rPr>
        <w:rFonts w:hint="default"/>
      </w:rPr>
    </w:lvl>
    <w:lvl w:ilvl="5">
      <w:start w:val="1"/>
      <w:numFmt w:val="lowerRoman"/>
      <w:lvlText w:val="%6."/>
      <w:lvlJc w:val="right"/>
      <w:pPr>
        <w:ind w:left="4463" w:hanging="180"/>
      </w:pPr>
      <w:rPr>
        <w:rFonts w:hint="default"/>
      </w:rPr>
    </w:lvl>
    <w:lvl w:ilvl="6">
      <w:start w:val="1"/>
      <w:numFmt w:val="decimal"/>
      <w:lvlText w:val="%7."/>
      <w:lvlJc w:val="left"/>
      <w:pPr>
        <w:ind w:left="5183" w:hanging="360"/>
      </w:pPr>
      <w:rPr>
        <w:rFonts w:hint="default"/>
      </w:rPr>
    </w:lvl>
    <w:lvl w:ilvl="7">
      <w:start w:val="1"/>
      <w:numFmt w:val="lowerLetter"/>
      <w:lvlText w:val="%8."/>
      <w:lvlJc w:val="left"/>
      <w:pPr>
        <w:ind w:left="5903" w:hanging="360"/>
      </w:pPr>
      <w:rPr>
        <w:rFonts w:hint="default"/>
      </w:rPr>
    </w:lvl>
    <w:lvl w:ilvl="8">
      <w:start w:val="1"/>
      <w:numFmt w:val="lowerRoman"/>
      <w:lvlText w:val="%9."/>
      <w:lvlJc w:val="right"/>
      <w:pPr>
        <w:ind w:left="6623" w:hanging="180"/>
      </w:pPr>
      <w:rPr>
        <w:rFonts w:hint="default"/>
      </w:rPr>
    </w:lvl>
  </w:abstractNum>
  <w:abstractNum w:abstractNumId="1">
    <w:nsid w:val="6F6E2B36"/>
    <w:multiLevelType w:val="multilevel"/>
    <w:tmpl w:val="11EE3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936C40"/>
    <w:multiLevelType w:val="multilevel"/>
    <w:tmpl w:val="9DE856E0"/>
    <w:lvl w:ilvl="0">
      <w:start w:val="1"/>
      <w:numFmt w:val="lowerRoman"/>
      <w:lvlText w:val="%1)"/>
      <w:lvlJc w:val="left"/>
      <w:pPr>
        <w:ind w:left="1365" w:hanging="72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
    <w:nsid w:val="79E4040B"/>
    <w:multiLevelType w:val="hybridMultilevel"/>
    <w:tmpl w:val="E05EFF3A"/>
    <w:lvl w:ilvl="0" w:tplc="55342A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C7E5401"/>
    <w:multiLevelType w:val="hybridMultilevel"/>
    <w:tmpl w:val="39A00A76"/>
    <w:lvl w:ilvl="0" w:tplc="B906BC2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num w:numId="1">
    <w:abstractNumId w:val="4"/>
  </w:num>
  <w:num w:numId="2">
    <w:abstractNumId w:val="2"/>
  </w:num>
  <w:num w:numId="3">
    <w:abstractNumId w:val="0"/>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5EDA"/>
    <w:rsid w:val="000178FF"/>
    <w:rsid w:val="0002052A"/>
    <w:rsid w:val="00020F83"/>
    <w:rsid w:val="00020F85"/>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A97"/>
    <w:rsid w:val="00062E48"/>
    <w:rsid w:val="00063F97"/>
    <w:rsid w:val="00070B5E"/>
    <w:rsid w:val="0007113A"/>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429E"/>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1D8C"/>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15A"/>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3FD2"/>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43FB"/>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3211"/>
    <w:rsid w:val="002C79F3"/>
    <w:rsid w:val="002D21AA"/>
    <w:rsid w:val="002D2386"/>
    <w:rsid w:val="002D33B7"/>
    <w:rsid w:val="002D36C1"/>
    <w:rsid w:val="002D4277"/>
    <w:rsid w:val="002D46A3"/>
    <w:rsid w:val="002D61B2"/>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0062"/>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496"/>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6C5"/>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0E5"/>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BDF"/>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59E1"/>
    <w:rsid w:val="005E755E"/>
    <w:rsid w:val="005E7CA8"/>
    <w:rsid w:val="005F1B7F"/>
    <w:rsid w:val="005F36E3"/>
    <w:rsid w:val="005F507C"/>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3C22"/>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5D44"/>
    <w:rsid w:val="00667A41"/>
    <w:rsid w:val="0067025F"/>
    <w:rsid w:val="00672C23"/>
    <w:rsid w:val="00673627"/>
    <w:rsid w:val="00674EA3"/>
    <w:rsid w:val="0067505E"/>
    <w:rsid w:val="006762DA"/>
    <w:rsid w:val="00677719"/>
    <w:rsid w:val="00681287"/>
    <w:rsid w:val="006830E1"/>
    <w:rsid w:val="00685C4F"/>
    <w:rsid w:val="00685D36"/>
    <w:rsid w:val="00686ABD"/>
    <w:rsid w:val="006905CD"/>
    <w:rsid w:val="00691173"/>
    <w:rsid w:val="00691AA4"/>
    <w:rsid w:val="00691BD5"/>
    <w:rsid w:val="00692DEB"/>
    <w:rsid w:val="00694EAF"/>
    <w:rsid w:val="006950BA"/>
    <w:rsid w:val="00695B77"/>
    <w:rsid w:val="00697153"/>
    <w:rsid w:val="006974AC"/>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0645"/>
    <w:rsid w:val="006E2AF9"/>
    <w:rsid w:val="006E4D74"/>
    <w:rsid w:val="006E4D81"/>
    <w:rsid w:val="006E7725"/>
    <w:rsid w:val="006F1186"/>
    <w:rsid w:val="006F4C79"/>
    <w:rsid w:val="006F692B"/>
    <w:rsid w:val="007012D9"/>
    <w:rsid w:val="00702036"/>
    <w:rsid w:val="007043D0"/>
    <w:rsid w:val="00704EE5"/>
    <w:rsid w:val="00705EAB"/>
    <w:rsid w:val="0070732D"/>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3A4B"/>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0E63"/>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4E09"/>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057"/>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1D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4623"/>
    <w:rsid w:val="00947E6D"/>
    <w:rsid w:val="00950739"/>
    <w:rsid w:val="009507AE"/>
    <w:rsid w:val="009507D8"/>
    <w:rsid w:val="00951ADE"/>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D0D"/>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1B1"/>
    <w:rsid w:val="00A25BB0"/>
    <w:rsid w:val="00A26D5A"/>
    <w:rsid w:val="00A30250"/>
    <w:rsid w:val="00A3196C"/>
    <w:rsid w:val="00A32DF3"/>
    <w:rsid w:val="00A36606"/>
    <w:rsid w:val="00A366EF"/>
    <w:rsid w:val="00A411C5"/>
    <w:rsid w:val="00A4179B"/>
    <w:rsid w:val="00A42F29"/>
    <w:rsid w:val="00A42F90"/>
    <w:rsid w:val="00A445AB"/>
    <w:rsid w:val="00A44B27"/>
    <w:rsid w:val="00A46744"/>
    <w:rsid w:val="00A47832"/>
    <w:rsid w:val="00A50996"/>
    <w:rsid w:val="00A50A25"/>
    <w:rsid w:val="00A521BC"/>
    <w:rsid w:val="00A52219"/>
    <w:rsid w:val="00A54FAC"/>
    <w:rsid w:val="00A56DEA"/>
    <w:rsid w:val="00A57538"/>
    <w:rsid w:val="00A604D3"/>
    <w:rsid w:val="00A607EE"/>
    <w:rsid w:val="00A617C1"/>
    <w:rsid w:val="00A61B57"/>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C7CBD"/>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DA7"/>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09F2"/>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53F"/>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4E58"/>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17FE"/>
    <w:rsid w:val="00C12679"/>
    <w:rsid w:val="00C127A7"/>
    <w:rsid w:val="00C12FB6"/>
    <w:rsid w:val="00C1511E"/>
    <w:rsid w:val="00C16047"/>
    <w:rsid w:val="00C20419"/>
    <w:rsid w:val="00C20FE3"/>
    <w:rsid w:val="00C2260F"/>
    <w:rsid w:val="00C23A80"/>
    <w:rsid w:val="00C23FDA"/>
    <w:rsid w:val="00C25DCF"/>
    <w:rsid w:val="00C25FDD"/>
    <w:rsid w:val="00C264EA"/>
    <w:rsid w:val="00C26541"/>
    <w:rsid w:val="00C40217"/>
    <w:rsid w:val="00C407FD"/>
    <w:rsid w:val="00C426D8"/>
    <w:rsid w:val="00C43831"/>
    <w:rsid w:val="00C459FD"/>
    <w:rsid w:val="00C45C9D"/>
    <w:rsid w:val="00C5295E"/>
    <w:rsid w:val="00C52BEB"/>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78E"/>
    <w:rsid w:val="00C92B39"/>
    <w:rsid w:val="00C934B3"/>
    <w:rsid w:val="00C94D4A"/>
    <w:rsid w:val="00C950E1"/>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B6C2E"/>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5D0"/>
    <w:rsid w:val="00D31BD1"/>
    <w:rsid w:val="00D323D0"/>
    <w:rsid w:val="00D3517D"/>
    <w:rsid w:val="00D358B2"/>
    <w:rsid w:val="00D35CA0"/>
    <w:rsid w:val="00D36693"/>
    <w:rsid w:val="00D402BA"/>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2CB0"/>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3FEE"/>
    <w:rsid w:val="00EE42D3"/>
    <w:rsid w:val="00EE483D"/>
    <w:rsid w:val="00EE4D5C"/>
    <w:rsid w:val="00EE4F89"/>
    <w:rsid w:val="00EE63E8"/>
    <w:rsid w:val="00EE655A"/>
    <w:rsid w:val="00EE6C6B"/>
    <w:rsid w:val="00EE7E27"/>
    <w:rsid w:val="00EF1207"/>
    <w:rsid w:val="00EF1751"/>
    <w:rsid w:val="00EF1C7D"/>
    <w:rsid w:val="00EF2CD7"/>
    <w:rsid w:val="00EF2FF6"/>
    <w:rsid w:val="00EF3CA4"/>
    <w:rsid w:val="00EF4B0F"/>
    <w:rsid w:val="00EF7205"/>
    <w:rsid w:val="00EF7A2B"/>
    <w:rsid w:val="00F001D3"/>
    <w:rsid w:val="00F038F6"/>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06CB"/>
    <w:rsid w:val="00FB1463"/>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2470"/>
    <w:rsid w:val="00FE3727"/>
    <w:rsid w:val="00FE5E16"/>
    <w:rsid w:val="00FE6D22"/>
    <w:rsid w:val="00FF23C6"/>
    <w:rsid w:val="00FF2DD5"/>
    <w:rsid w:val="00FF3153"/>
    <w:rsid w:val="00FF4169"/>
    <w:rsid w:val="00FF5E08"/>
    <w:rsid w:val="00FF76FA"/>
    <w:rsid w:val="00FF796F"/>
    <w:rsid w:val="00FF7D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uiPriority w:val="99"/>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nhideWhenUsed/>
    <w:rsid w:val="00E10421"/>
    <w:pPr>
      <w:spacing w:after="120"/>
    </w:pPr>
    <w:rPr>
      <w:sz w:val="16"/>
      <w:szCs w:val="16"/>
    </w:rPr>
  </w:style>
  <w:style w:type="character" w:customStyle="1" w:styleId="Textoindependiente3Car">
    <w:name w:val="Texto independiente 3 Car"/>
    <w:basedOn w:val="Fuentedeprrafopredeter"/>
    <w:link w:val="Textoindependiente3"/>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 w:type="numbering" w:customStyle="1" w:styleId="Sinlista2">
    <w:name w:val="Sin lista2"/>
    <w:next w:val="Sinlista"/>
    <w:uiPriority w:val="99"/>
    <w:semiHidden/>
    <w:unhideWhenUsed/>
    <w:rsid w:val="00CB6C2E"/>
  </w:style>
  <w:style w:type="table" w:customStyle="1" w:styleId="TableNormal1">
    <w:name w:val="Table Normal1"/>
    <w:rsid w:val="00CB6C2E"/>
    <w:pPr>
      <w:spacing w:after="0" w:line="240" w:lineRule="auto"/>
    </w:pPr>
    <w:rPr>
      <w:rFonts w:ascii="Times New Roman" w:eastAsia="Times New Roman" w:hAnsi="Times New Roman" w:cs="Times New Roman"/>
      <w:sz w:val="24"/>
      <w:szCs w:val="24"/>
      <w:lang w:val="es-ES"/>
    </w:rPr>
    <w:tblPr>
      <w:tblCellMar>
        <w:top w:w="0" w:type="dxa"/>
        <w:left w:w="0" w:type="dxa"/>
        <w:bottom w:w="0" w:type="dxa"/>
        <w:right w:w="0" w:type="dxa"/>
      </w:tblCellMar>
    </w:tblPr>
  </w:style>
  <w:style w:type="paragraph" w:customStyle="1" w:styleId="p">
    <w:name w:val="p"/>
    <w:basedOn w:val="Normal"/>
    <w:rsid w:val="00CB6C2E"/>
    <w:pPr>
      <w:spacing w:before="100" w:beforeAutospacing="1" w:after="0" w:line="240" w:lineRule="auto"/>
      <w:ind w:left="0" w:right="0" w:firstLine="0"/>
      <w:jc w:val="left"/>
    </w:pPr>
    <w:rPr>
      <w:rFonts w:ascii="Times New Roman" w:eastAsia="Times New Roman" w:hAnsi="Times New Roman" w:cs="Times New Roman"/>
      <w:color w:val="auto"/>
      <w:szCs w:val="24"/>
    </w:rPr>
  </w:style>
  <w:style w:type="paragraph" w:customStyle="1" w:styleId="q">
    <w:name w:val="q"/>
    <w:basedOn w:val="Normal"/>
    <w:rsid w:val="00CB6C2E"/>
    <w:pPr>
      <w:spacing w:before="100" w:beforeAutospacing="1" w:after="0" w:line="240" w:lineRule="auto"/>
      <w:ind w:left="480" w:right="0" w:firstLine="0"/>
      <w:jc w:val="left"/>
    </w:pPr>
    <w:rPr>
      <w:rFonts w:ascii="Times New Roman" w:eastAsia="Times New Roman" w:hAnsi="Times New Roman" w:cs="Times New Roman"/>
      <w:color w:val="auto"/>
      <w:szCs w:val="24"/>
    </w:rPr>
  </w:style>
  <w:style w:type="character" w:customStyle="1" w:styleId="f1">
    <w:name w:val="f1"/>
    <w:basedOn w:val="Fuentedeprrafopredeter"/>
    <w:rsid w:val="00CB6C2E"/>
    <w:rPr>
      <w:color w:val="0000FF"/>
      <w:sz w:val="30"/>
      <w:szCs w:val="30"/>
    </w:rPr>
  </w:style>
  <w:style w:type="character" w:customStyle="1" w:styleId="d1">
    <w:name w:val="d1"/>
    <w:basedOn w:val="Fuentedeprrafopredeter"/>
    <w:rsid w:val="00CB6C2E"/>
    <w:rPr>
      <w:color w:val="0000FF"/>
    </w:rPr>
  </w:style>
  <w:style w:type="character" w:customStyle="1" w:styleId="b1">
    <w:name w:val="b1"/>
    <w:basedOn w:val="Fuentedeprrafopredeter"/>
    <w:rsid w:val="00CB6C2E"/>
    <w:rPr>
      <w:color w:val="000000"/>
    </w:rPr>
  </w:style>
  <w:style w:type="character" w:customStyle="1" w:styleId="caps">
    <w:name w:val="caps"/>
    <w:basedOn w:val="Fuentedeprrafopredeter"/>
    <w:rsid w:val="00CB6C2E"/>
  </w:style>
  <w:style w:type="paragraph" w:customStyle="1" w:styleId="Estilo">
    <w:name w:val="Estilo"/>
    <w:basedOn w:val="Sinespaciado"/>
    <w:link w:val="EstiloCar"/>
    <w:qFormat/>
    <w:rsid w:val="00CB6C2E"/>
    <w:pPr>
      <w:ind w:left="0" w:right="0" w:firstLine="0"/>
    </w:pPr>
    <w:rPr>
      <w:rFonts w:eastAsia="Cambria" w:cs="Times New Roman"/>
      <w:color w:val="auto"/>
      <w:lang w:eastAsia="en-US"/>
    </w:rPr>
  </w:style>
  <w:style w:type="paragraph" w:customStyle="1" w:styleId="Sinespaciado1">
    <w:name w:val="Sin espaciado1"/>
    <w:next w:val="Sinespaciado"/>
    <w:uiPriority w:val="1"/>
    <w:qFormat/>
    <w:rsid w:val="00CB6C2E"/>
    <w:pPr>
      <w:spacing w:after="0" w:line="240" w:lineRule="auto"/>
    </w:pPr>
    <w:rPr>
      <w:rFonts w:eastAsia="Cambria"/>
      <w:lang w:eastAsia="en-US"/>
    </w:rPr>
  </w:style>
  <w:style w:type="character" w:customStyle="1" w:styleId="EstiloCar">
    <w:name w:val="Estilo Car"/>
    <w:basedOn w:val="Fuentedeprrafopredeter"/>
    <w:link w:val="Estilo"/>
    <w:rsid w:val="00CB6C2E"/>
    <w:rPr>
      <w:rFonts w:ascii="Arial" w:eastAsia="Cambria" w:hAnsi="Arial" w:cs="Times New Roman"/>
      <w:sz w:val="24"/>
      <w:lang w:eastAsia="en-US"/>
    </w:rPr>
  </w:style>
  <w:style w:type="paragraph" w:customStyle="1" w:styleId="Textocomentario1">
    <w:name w:val="Texto comentario1"/>
    <w:basedOn w:val="Normal"/>
    <w:next w:val="Textocomentario"/>
    <w:link w:val="TextocomentarioCar"/>
    <w:uiPriority w:val="99"/>
    <w:unhideWhenUsed/>
    <w:rsid w:val="00CB6C2E"/>
    <w:pPr>
      <w:spacing w:after="160" w:line="240" w:lineRule="auto"/>
      <w:ind w:left="0" w:right="0" w:firstLine="0"/>
      <w:jc w:val="left"/>
    </w:pPr>
    <w:rPr>
      <w:rFonts w:ascii="Cambria" w:eastAsia="Cambria" w:hAnsi="Cambria" w:cs="Times New Roman"/>
      <w:color w:val="auto"/>
      <w:sz w:val="20"/>
      <w:szCs w:val="20"/>
      <w:lang w:eastAsia="en-US"/>
    </w:rPr>
  </w:style>
  <w:style w:type="character" w:customStyle="1" w:styleId="TextocomentarioCar">
    <w:name w:val="Texto comentario Car"/>
    <w:basedOn w:val="Fuentedeprrafopredeter"/>
    <w:link w:val="Textocomentario1"/>
    <w:uiPriority w:val="99"/>
    <w:rsid w:val="00CB6C2E"/>
    <w:rPr>
      <w:rFonts w:ascii="Cambria" w:eastAsia="Cambria" w:hAnsi="Cambria" w:cs="Times New Roman"/>
      <w:sz w:val="20"/>
      <w:szCs w:val="20"/>
      <w:lang w:val="es-MX" w:eastAsia="en-US"/>
    </w:rPr>
  </w:style>
  <w:style w:type="character" w:customStyle="1" w:styleId="AsuntodelcomentarioCar">
    <w:name w:val="Asunto del comentario Car"/>
    <w:basedOn w:val="TextocomentarioCar"/>
    <w:link w:val="Asuntodelcomentario"/>
    <w:uiPriority w:val="99"/>
    <w:semiHidden/>
    <w:rsid w:val="00CB6C2E"/>
    <w:rPr>
      <w:rFonts w:ascii="Cambria" w:eastAsia="Cambria" w:hAnsi="Cambria" w:cs="Times New Roman"/>
      <w:b/>
      <w:bCs/>
      <w:sz w:val="20"/>
      <w:szCs w:val="20"/>
      <w:lang w:val="es-MX" w:eastAsia="en-US"/>
    </w:rPr>
  </w:style>
  <w:style w:type="paragraph" w:customStyle="1" w:styleId="Asuntodelcomentario1">
    <w:name w:val="Asunto del comentario1"/>
    <w:basedOn w:val="Textocomentario"/>
    <w:next w:val="Textocomentario"/>
    <w:uiPriority w:val="99"/>
    <w:semiHidden/>
    <w:unhideWhenUsed/>
    <w:rsid w:val="00CB6C2E"/>
    <w:pPr>
      <w:spacing w:after="0"/>
      <w:ind w:left="0" w:right="0" w:firstLine="0"/>
      <w:jc w:val="left"/>
    </w:pPr>
    <w:rPr>
      <w:rFonts w:ascii="Cambria" w:eastAsia="Cambria" w:hAnsi="Cambria" w:cs="Times New Roman"/>
      <w:b/>
      <w:bCs/>
      <w:color w:val="auto"/>
      <w:lang w:eastAsia="en-US"/>
    </w:rPr>
  </w:style>
  <w:style w:type="character" w:customStyle="1" w:styleId="AsuntodelcomentarioCar1">
    <w:name w:val="Asunto del comentario Car1"/>
    <w:basedOn w:val="TextocomentarioCar"/>
    <w:uiPriority w:val="99"/>
    <w:semiHidden/>
    <w:rsid w:val="00CB6C2E"/>
    <w:rPr>
      <w:rFonts w:ascii="Cambria" w:eastAsia="Cambria" w:hAnsi="Cambria" w:cs="Times New Roman"/>
      <w:b/>
      <w:bCs/>
      <w:sz w:val="20"/>
      <w:szCs w:val="20"/>
      <w:lang w:val="es-MX" w:eastAsia="en-US"/>
    </w:rPr>
  </w:style>
  <w:style w:type="paragraph" w:customStyle="1" w:styleId="Cuerpo">
    <w:name w:val="Cuerpo"/>
    <w:basedOn w:val="Normal"/>
    <w:rsid w:val="00CB6C2E"/>
    <w:pPr>
      <w:spacing w:after="0" w:line="240" w:lineRule="auto"/>
      <w:ind w:left="0" w:right="0" w:firstLine="0"/>
    </w:pPr>
    <w:rPr>
      <w:rFonts w:eastAsia="Times New Roman" w:cs="Times New Roman"/>
      <w:color w:val="auto"/>
      <w:sz w:val="20"/>
      <w:szCs w:val="20"/>
      <w:lang w:val="es-ES" w:eastAsia="es-ES"/>
    </w:rPr>
  </w:style>
  <w:style w:type="character" w:customStyle="1" w:styleId="Ninguno">
    <w:name w:val="Ninguno"/>
    <w:rsid w:val="00CB6C2E"/>
  </w:style>
  <w:style w:type="character" w:customStyle="1" w:styleId="SangradetextonormalCar">
    <w:name w:val="Sangría de texto normal Car"/>
    <w:basedOn w:val="Fuentedeprrafopredeter"/>
    <w:link w:val="Sangradetextonormal"/>
    <w:uiPriority w:val="99"/>
    <w:semiHidden/>
    <w:rsid w:val="00CB6C2E"/>
    <w:rPr>
      <w:rFonts w:ascii="Cambria" w:eastAsia="Cambria" w:hAnsi="Cambria" w:cs="Times New Roman"/>
      <w:sz w:val="22"/>
      <w:szCs w:val="22"/>
      <w:lang w:val="es-MX" w:eastAsia="en-US"/>
    </w:rPr>
  </w:style>
  <w:style w:type="paragraph" w:customStyle="1" w:styleId="Sangradetextonormal1">
    <w:name w:val="Sangría de texto normal1"/>
    <w:basedOn w:val="Normal"/>
    <w:next w:val="Sangradetextonormal"/>
    <w:uiPriority w:val="99"/>
    <w:semiHidden/>
    <w:unhideWhenUsed/>
    <w:rsid w:val="00CB6C2E"/>
    <w:pPr>
      <w:spacing w:after="120" w:line="360" w:lineRule="auto"/>
      <w:ind w:left="283" w:right="0" w:firstLine="0"/>
      <w:jc w:val="left"/>
    </w:pPr>
    <w:rPr>
      <w:rFonts w:ascii="Cambria" w:eastAsia="Cambria" w:hAnsi="Cambria" w:cs="Times New Roman"/>
      <w:color w:val="auto"/>
      <w:sz w:val="22"/>
      <w:lang w:eastAsia="en-US"/>
    </w:rPr>
  </w:style>
  <w:style w:type="character" w:customStyle="1" w:styleId="SangradetextonormalCar1">
    <w:name w:val="Sangría de texto normal Car1"/>
    <w:basedOn w:val="Fuentedeprrafopredeter"/>
    <w:uiPriority w:val="99"/>
    <w:semiHidden/>
    <w:rsid w:val="00CB6C2E"/>
  </w:style>
  <w:style w:type="table" w:customStyle="1" w:styleId="15">
    <w:name w:val="15"/>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4">
    <w:name w:val="14"/>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3">
    <w:name w:val="13"/>
    <w:basedOn w:val="TableNormal"/>
    <w:rsid w:val="00CB6C2E"/>
    <w:pPr>
      <w:spacing w:after="0" w:line="360" w:lineRule="auto"/>
    </w:pPr>
    <w:tblPr>
      <w:tblStyleRowBandSize w:val="1"/>
      <w:tblStyleColBandSize w:val="1"/>
      <w:tblCellMar>
        <w:top w:w="0" w:type="dxa"/>
        <w:left w:w="115" w:type="dxa"/>
        <w:bottom w:w="0" w:type="dxa"/>
        <w:right w:w="115" w:type="dxa"/>
      </w:tblCellMar>
    </w:tblPr>
  </w:style>
  <w:style w:type="table" w:customStyle="1" w:styleId="12">
    <w:name w:val="12"/>
    <w:basedOn w:val="TableNormal"/>
    <w:rsid w:val="00CB6C2E"/>
    <w:pPr>
      <w:spacing w:after="0" w:line="360" w:lineRule="auto"/>
    </w:pPr>
    <w:tblPr>
      <w:tblStyleRowBandSize w:val="1"/>
      <w:tblStyleColBandSize w:val="1"/>
      <w:tblCellMar>
        <w:top w:w="0" w:type="dxa"/>
        <w:left w:w="115" w:type="dxa"/>
        <w:bottom w:w="0" w:type="dxa"/>
        <w:right w:w="115" w:type="dxa"/>
      </w:tblCellMar>
    </w:tblPr>
  </w:style>
  <w:style w:type="table" w:customStyle="1" w:styleId="11">
    <w:name w:val="11"/>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0">
    <w:name w:val="10"/>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
    <w:rsid w:val="00CB6C2E"/>
    <w:pPr>
      <w:spacing w:after="0" w:line="240" w:lineRule="auto"/>
    </w:pPr>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CB6C2E"/>
    <w:pPr>
      <w:spacing w:after="0" w:line="240" w:lineRule="auto"/>
      <w:ind w:left="705" w:right="-3" w:hanging="10"/>
      <w:jc w:val="both"/>
    </w:pPr>
    <w:rPr>
      <w:rFonts w:ascii="Arial" w:eastAsia="Arial" w:hAnsi="Arial" w:cs="Arial"/>
      <w:color w:val="000000"/>
      <w:sz w:val="24"/>
    </w:rPr>
  </w:style>
  <w:style w:type="paragraph" w:styleId="Textocomentario">
    <w:name w:val="annotation text"/>
    <w:basedOn w:val="Normal"/>
    <w:link w:val="TextocomentarioCar1"/>
    <w:uiPriority w:val="99"/>
    <w:semiHidden/>
    <w:unhideWhenUsed/>
    <w:rsid w:val="00CB6C2E"/>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CB6C2E"/>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CB6C2E"/>
    <w:rPr>
      <w:rFonts w:ascii="Cambria" w:eastAsia="Cambria" w:hAnsi="Cambria" w:cs="Times New Roman"/>
      <w:b/>
      <w:bCs/>
      <w:color w:val="auto"/>
      <w:lang w:eastAsia="en-US"/>
    </w:rPr>
  </w:style>
  <w:style w:type="character" w:customStyle="1" w:styleId="AsuntodelcomentarioCar2">
    <w:name w:val="Asunto del comentario Car2"/>
    <w:basedOn w:val="TextocomentarioCar1"/>
    <w:uiPriority w:val="99"/>
    <w:semiHidden/>
    <w:rsid w:val="00CB6C2E"/>
    <w:rPr>
      <w:rFonts w:ascii="Arial" w:eastAsia="Arial" w:hAnsi="Arial" w:cs="Arial"/>
      <w:b/>
      <w:bCs/>
      <w:color w:val="000000"/>
      <w:sz w:val="20"/>
      <w:szCs w:val="20"/>
    </w:rPr>
  </w:style>
  <w:style w:type="paragraph" w:styleId="Sangradetextonormal">
    <w:name w:val="Body Text Indent"/>
    <w:basedOn w:val="Normal"/>
    <w:link w:val="SangradetextonormalCar"/>
    <w:uiPriority w:val="99"/>
    <w:semiHidden/>
    <w:unhideWhenUsed/>
    <w:rsid w:val="00CB6C2E"/>
    <w:pPr>
      <w:spacing w:after="120"/>
      <w:ind w:left="283"/>
    </w:pPr>
    <w:rPr>
      <w:rFonts w:ascii="Cambria" w:eastAsia="Cambria" w:hAnsi="Cambria" w:cs="Times New Roman"/>
      <w:color w:val="auto"/>
      <w:sz w:val="22"/>
      <w:lang w:eastAsia="en-US"/>
    </w:rPr>
  </w:style>
  <w:style w:type="character" w:customStyle="1" w:styleId="SangradetextonormalCar2">
    <w:name w:val="Sangría de texto normal Car2"/>
    <w:basedOn w:val="Fuentedeprrafopredeter"/>
    <w:uiPriority w:val="99"/>
    <w:semiHidden/>
    <w:rsid w:val="00CB6C2E"/>
    <w:rPr>
      <w:rFonts w:ascii="Arial" w:eastAsia="Arial" w:hAnsi="Arial" w:cs="Arial"/>
      <w:color w:val="000000"/>
      <w:sz w:val="24"/>
    </w:rPr>
  </w:style>
  <w:style w:type="table" w:customStyle="1" w:styleId="Tablaconcuadrcula2">
    <w:name w:val="Tabla con cuadrícula2"/>
    <w:basedOn w:val="Tablanormal"/>
    <w:next w:val="Tablaconcuadrcula"/>
    <w:uiPriority w:val="59"/>
    <w:rsid w:val="0007113A"/>
    <w:pPr>
      <w:widowControl w:val="0"/>
      <w:autoSpaceDE w:val="0"/>
      <w:autoSpaceDN w:val="0"/>
      <w:spacing w:after="0" w:line="240" w:lineRule="auto"/>
    </w:pPr>
    <w:rPr>
      <w:rFonts w:ascii="Calibri" w:eastAsia="Calibri" w:hAnsi="Calibri"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0711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172F-9967-4CF1-ADF2-595BF98C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4975</Words>
  <Characters>27366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Corei3</cp:lastModifiedBy>
  <cp:revision>59</cp:revision>
  <cp:lastPrinted>2022-06-07T17:45:00Z</cp:lastPrinted>
  <dcterms:created xsi:type="dcterms:W3CDTF">2022-05-31T14:36:00Z</dcterms:created>
  <dcterms:modified xsi:type="dcterms:W3CDTF">2022-06-14T19:15:00Z</dcterms:modified>
</cp:coreProperties>
</file>